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794D">
      <w:pPr>
        <w:jc w:val="center"/>
        <w:rPr>
          <w:rFonts w:hint="eastAsia" w:ascii="方正小标宋_GBK" w:eastAsia="方正小标宋_GBK"/>
          <w:b/>
          <w:sz w:val="52"/>
          <w:szCs w:val="52"/>
          <w:lang w:val="zh-CN"/>
        </w:rPr>
      </w:pPr>
      <w:bookmarkStart w:id="0" w:name="_Toc31611"/>
    </w:p>
    <w:p w14:paraId="321E3A04">
      <w:pPr>
        <w:pStyle w:val="8"/>
        <w:rPr>
          <w:lang w:val="zh-CN"/>
        </w:rPr>
      </w:pPr>
    </w:p>
    <w:p w14:paraId="4CA48A64">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5F5DEE20">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服务类项目</w:t>
      </w:r>
      <w:r>
        <w:rPr>
          <w:rFonts w:hint="eastAsia" w:ascii="方正小标宋_GBK" w:eastAsia="方正小标宋_GBK"/>
          <w:b/>
          <w:sz w:val="52"/>
          <w:szCs w:val="52"/>
          <w:lang w:val="zh-CN"/>
        </w:rPr>
        <w:t>采购文件</w:t>
      </w:r>
      <w:bookmarkEnd w:id="1"/>
    </w:p>
    <w:p w14:paraId="31852CA0">
      <w:pPr>
        <w:rPr>
          <w:rFonts w:ascii="仿宋_GB2312" w:eastAsia="仿宋_GB2312"/>
          <w:b/>
          <w:sz w:val="28"/>
          <w:szCs w:val="28"/>
          <w:lang w:val="zh-CN"/>
        </w:rPr>
      </w:pPr>
    </w:p>
    <w:p w14:paraId="5D0DB849">
      <w:pPr>
        <w:rPr>
          <w:rFonts w:ascii="仿宋_GB2312" w:eastAsia="仿宋_GB2312"/>
          <w:b/>
          <w:sz w:val="28"/>
          <w:szCs w:val="28"/>
          <w:lang w:val="zh-CN"/>
        </w:rPr>
      </w:pPr>
    </w:p>
    <w:p w14:paraId="7263B144">
      <w:pPr>
        <w:rPr>
          <w:rFonts w:ascii="仿宋_GB2312" w:eastAsia="仿宋_GB2312"/>
          <w:b/>
          <w:sz w:val="28"/>
          <w:szCs w:val="28"/>
          <w:lang w:val="zh-CN"/>
        </w:rPr>
      </w:pPr>
    </w:p>
    <w:p w14:paraId="75947B5B">
      <w:pPr>
        <w:rPr>
          <w:rFonts w:ascii="仿宋_GB2312" w:eastAsia="仿宋_GB2312"/>
          <w:b/>
          <w:sz w:val="28"/>
          <w:szCs w:val="28"/>
          <w:lang w:val="zh-CN"/>
        </w:rPr>
      </w:pPr>
    </w:p>
    <w:p w14:paraId="5C4D436C">
      <w:pPr>
        <w:rPr>
          <w:rFonts w:ascii="仿宋_GB2312" w:eastAsia="仿宋_GB2312"/>
          <w:b/>
          <w:sz w:val="28"/>
          <w:szCs w:val="28"/>
          <w:lang w:val="zh-CN"/>
        </w:rPr>
      </w:pPr>
    </w:p>
    <w:p w14:paraId="42B897EB">
      <w:pPr>
        <w:ind w:left="1468" w:leftChars="699"/>
        <w:rPr>
          <w:rFonts w:hint="eastAsia" w:ascii="仿宋_GB2312" w:hAnsi="黑体" w:eastAsia="宋体"/>
          <w:bCs/>
          <w:color w:val="000000" w:themeColor="text1"/>
          <w:sz w:val="32"/>
          <w:szCs w:val="32"/>
          <w:lang w:eastAsia="zh-CN"/>
          <w14:textFill>
            <w14:solidFill>
              <w14:schemeClr w14:val="tx1"/>
            </w14:solidFill>
          </w14:textFill>
        </w:rPr>
      </w:pPr>
      <w:r>
        <w:rPr>
          <w:rFonts w:hint="eastAsia" w:ascii="宋体" w:hAnsi="宋体" w:cs="宋体"/>
          <w:bCs/>
          <w:sz w:val="28"/>
          <w:szCs w:val="28"/>
        </w:rPr>
        <w:t>项目名称：</w:t>
      </w:r>
      <w:r>
        <w:rPr>
          <w:rFonts w:hint="eastAsia" w:ascii="仿宋_GB2312" w:hAnsi="黑体" w:eastAsia="仿宋_GB2312"/>
          <w:bCs/>
          <w:color w:val="000000" w:themeColor="text1"/>
          <w:sz w:val="32"/>
          <w:szCs w:val="32"/>
          <w:lang w:eastAsia="zh-CN"/>
          <w14:textFill>
            <w14:solidFill>
              <w14:schemeClr w14:val="tx1"/>
            </w14:solidFill>
          </w14:textFill>
        </w:rPr>
        <w:t>实验动物许可证代理申报服务（二次）</w:t>
      </w:r>
    </w:p>
    <w:p w14:paraId="2E136E26">
      <w:pPr>
        <w:ind w:left="1468" w:leftChars="699"/>
        <w:rPr>
          <w:rFonts w:hint="default" w:ascii="仿宋_GB2312" w:hAnsi="黑体" w:eastAsia="宋体"/>
          <w:bCs/>
          <w:color w:val="000000" w:themeColor="text1"/>
          <w:sz w:val="32"/>
          <w:szCs w:val="32"/>
          <w:lang w:val="en-US" w:eastAsia="zh-CN"/>
          <w14:textFill>
            <w14:solidFill>
              <w14:schemeClr w14:val="tx1"/>
            </w14:solidFill>
          </w14:textFill>
        </w:rPr>
      </w:pPr>
      <w:r>
        <w:rPr>
          <w:rFonts w:hint="eastAsia" w:ascii="宋体" w:hAnsi="宋体" w:cs="宋体"/>
          <w:bCs/>
          <w:sz w:val="28"/>
          <w:szCs w:val="28"/>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GZSY-ZB-FW-2026041</w:t>
      </w:r>
    </w:p>
    <w:p w14:paraId="5E6D90A6">
      <w:pPr>
        <w:ind w:left="1468" w:leftChars="699"/>
        <w:rPr>
          <w:rFonts w:hint="eastAsia" w:ascii="宋体" w:hAnsi="宋体" w:cs="宋体"/>
          <w:bCs/>
          <w:sz w:val="28"/>
          <w:szCs w:val="28"/>
        </w:rPr>
      </w:pPr>
      <w:r>
        <w:rPr>
          <w:rFonts w:hint="eastAsia" w:ascii="宋体" w:hAnsi="宋体" w:cs="宋体"/>
          <w:bCs/>
          <w:sz w:val="28"/>
          <w:szCs w:val="28"/>
        </w:rPr>
        <w:t>项目类型：服务类</w:t>
      </w:r>
    </w:p>
    <w:p w14:paraId="3B57AE39">
      <w:pPr>
        <w:ind w:left="1468" w:leftChars="699"/>
        <w:rPr>
          <w:rFonts w:hint="eastAsia" w:cs="宋体"/>
          <w:bCs/>
          <w:sz w:val="28"/>
          <w:szCs w:val="28"/>
          <w:lang w:val="en-US" w:eastAsia="zh-CN"/>
        </w:rPr>
      </w:pPr>
      <w:r>
        <w:rPr>
          <w:rFonts w:hint="eastAsia" w:ascii="宋体" w:hAnsi="宋体" w:cs="宋体"/>
          <w:bCs/>
          <w:sz w:val="28"/>
          <w:szCs w:val="28"/>
        </w:rPr>
        <w:t>采购方式：</w:t>
      </w:r>
      <w:r>
        <w:rPr>
          <w:rFonts w:hint="eastAsia" w:cs="宋体"/>
          <w:bCs/>
          <w:sz w:val="28"/>
          <w:szCs w:val="28"/>
          <w:lang w:val="en-US" w:eastAsia="zh-CN"/>
        </w:rPr>
        <w:t>询价</w:t>
      </w:r>
    </w:p>
    <w:p w14:paraId="0D6D68EE">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395F251D">
      <w:pPr>
        <w:ind w:left="1468" w:leftChars="699"/>
        <w:rPr>
          <w:rFonts w:hint="default" w:ascii="宋体" w:hAnsi="宋体" w:eastAsia="宋体" w:cs="宋体"/>
          <w:bCs/>
          <w:sz w:val="28"/>
          <w:szCs w:val="28"/>
          <w:lang w:val="en-US" w:eastAsia="zh-CN"/>
        </w:rPr>
      </w:pPr>
      <w:r>
        <w:rPr>
          <w:rFonts w:hint="eastAsia" w:ascii="宋体" w:hAnsi="宋体" w:cs="宋体"/>
          <w:bCs/>
          <w:sz w:val="28"/>
          <w:szCs w:val="28"/>
        </w:rPr>
        <w:t>评审方法：</w:t>
      </w:r>
      <w:r>
        <w:rPr>
          <w:rFonts w:hint="eastAsia" w:ascii="宋体" w:hAnsi="宋体" w:cs="宋体"/>
          <w:bCs/>
          <w:sz w:val="28"/>
          <w:szCs w:val="28"/>
          <w:lang w:eastAsia="zh-CN"/>
        </w:rPr>
        <w:t>最低价法</w:t>
      </w:r>
    </w:p>
    <w:p w14:paraId="121F9B49">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p w14:paraId="6194F983">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52A18FFD">
      <w:pPr>
        <w:pStyle w:val="12"/>
        <w:tabs>
          <w:tab w:val="right" w:leader="dot" w:pos="8306"/>
        </w:tabs>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rPr>
          <w:rFonts w:hint="eastAsia" w:ascii="宋体" w:hAnsi="宋体" w:cs="宋体"/>
          <w:szCs w:val="60"/>
        </w:rPr>
        <w:fldChar w:fldCharType="begin"/>
      </w:r>
      <w:r>
        <w:rPr>
          <w:rFonts w:hint="eastAsia" w:ascii="宋体" w:hAnsi="宋体" w:cs="宋体"/>
          <w:szCs w:val="60"/>
        </w:rPr>
        <w:instrText xml:space="preserve"> HYPERLINK \l _Toc12313 </w:instrText>
      </w:r>
      <w:r>
        <w:rPr>
          <w:rFonts w:hint="eastAsia" w:ascii="宋体" w:hAnsi="宋体" w:cs="宋体"/>
          <w:szCs w:val="60"/>
        </w:rPr>
        <w:fldChar w:fldCharType="separate"/>
      </w:r>
      <w:r>
        <w:rPr>
          <w:rFonts w:hint="eastAsia" w:ascii="方正小标宋_GBK" w:eastAsia="方正小标宋_GBK"/>
          <w:szCs w:val="44"/>
          <w14:ligatures w14:val="none"/>
        </w:rPr>
        <w:t>第一章  采购邀请函</w:t>
      </w:r>
      <w:r>
        <w:tab/>
      </w:r>
      <w:r>
        <w:fldChar w:fldCharType="begin"/>
      </w:r>
      <w:r>
        <w:instrText xml:space="preserve"> PAGEREF _Toc12313 \h </w:instrText>
      </w:r>
      <w:r>
        <w:fldChar w:fldCharType="separate"/>
      </w:r>
      <w:r>
        <w:t>6</w:t>
      </w:r>
      <w:r>
        <w:fldChar w:fldCharType="end"/>
      </w:r>
      <w:r>
        <w:rPr>
          <w:rFonts w:hint="eastAsia" w:ascii="宋体" w:hAnsi="宋体" w:cs="宋体"/>
          <w:szCs w:val="60"/>
        </w:rPr>
        <w:fldChar w:fldCharType="end"/>
      </w:r>
    </w:p>
    <w:p w14:paraId="4FED133D">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_Toc6340 </w:instrText>
      </w:r>
      <w:r>
        <w:rPr>
          <w:rFonts w:hint="eastAsia" w:ascii="宋体" w:hAnsi="宋体" w:cs="宋体"/>
          <w:szCs w:val="60"/>
        </w:rPr>
        <w:fldChar w:fldCharType="separate"/>
      </w:r>
      <w:r>
        <w:rPr>
          <w:rFonts w:hint="eastAsia" w:ascii="方正小标宋_GBK" w:eastAsia="方正小标宋_GBK"/>
          <w:szCs w:val="44"/>
          <w14:ligatures w14:val="none"/>
        </w:rPr>
        <w:t xml:space="preserve">第二章 </w:t>
      </w:r>
      <w:r>
        <w:rPr>
          <w:rFonts w:hint="eastAsia" w:ascii="黑体" w:hAnsi="黑体" w:eastAsia="黑体" w:cs="黑体"/>
          <w:szCs w:val="32"/>
        </w:rPr>
        <w:t>★</w:t>
      </w:r>
      <w:r>
        <w:rPr>
          <w:rFonts w:hint="eastAsia" w:ascii="方正小标宋_GBK" w:eastAsia="方正小标宋_GBK"/>
          <w:szCs w:val="44"/>
          <w:lang w:val="en-US" w:eastAsia="zh-CN"/>
          <w14:ligatures w14:val="none"/>
        </w:rPr>
        <w:t>采购要求</w:t>
      </w:r>
      <w:r>
        <w:tab/>
      </w:r>
      <w:r>
        <w:fldChar w:fldCharType="begin"/>
      </w:r>
      <w:r>
        <w:instrText xml:space="preserve"> PAGEREF _Toc6340 \h </w:instrText>
      </w:r>
      <w:r>
        <w:fldChar w:fldCharType="separate"/>
      </w:r>
      <w:r>
        <w:t>9</w:t>
      </w:r>
      <w:r>
        <w:fldChar w:fldCharType="end"/>
      </w:r>
      <w:r>
        <w:rPr>
          <w:rFonts w:hint="eastAsia" w:ascii="宋体" w:hAnsi="宋体" w:cs="宋体"/>
          <w:szCs w:val="60"/>
        </w:rPr>
        <w:fldChar w:fldCharType="end"/>
      </w:r>
    </w:p>
    <w:p w14:paraId="5D40CC80">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_Toc18576 </w:instrText>
      </w:r>
      <w:r>
        <w:rPr>
          <w:rFonts w:hint="eastAsia" w:ascii="宋体" w:hAnsi="宋体" w:cs="宋体"/>
          <w:szCs w:val="60"/>
        </w:rPr>
        <w:fldChar w:fldCharType="separate"/>
      </w:r>
      <w:r>
        <w:rPr>
          <w:rFonts w:hint="eastAsia"/>
          <w:bCs/>
        </w:rPr>
        <w:t>第三章  响应文件模板</w:t>
      </w:r>
      <w:r>
        <w:tab/>
      </w:r>
      <w:r>
        <w:fldChar w:fldCharType="begin"/>
      </w:r>
      <w:r>
        <w:instrText xml:space="preserve"> PAGEREF _Toc18576 \h </w:instrText>
      </w:r>
      <w:r>
        <w:fldChar w:fldCharType="separate"/>
      </w:r>
      <w:r>
        <w:t>12</w:t>
      </w:r>
      <w:r>
        <w:fldChar w:fldCharType="end"/>
      </w:r>
      <w:r>
        <w:rPr>
          <w:rFonts w:hint="eastAsia" w:ascii="宋体" w:hAnsi="宋体" w:cs="宋体"/>
          <w:szCs w:val="60"/>
        </w:rPr>
        <w:fldChar w:fldCharType="end"/>
      </w:r>
    </w:p>
    <w:p w14:paraId="014D21F7">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_Toc689 </w:instrText>
      </w:r>
      <w:r>
        <w:rPr>
          <w:rFonts w:hint="eastAsia" w:ascii="宋体" w:hAnsi="宋体" w:cs="宋体"/>
          <w:szCs w:val="60"/>
        </w:rPr>
        <w:fldChar w:fldCharType="separate"/>
      </w:r>
      <w:r>
        <w:rPr>
          <w:rFonts w:hint="eastAsia" w:ascii="方正小标宋_GBK" w:eastAsia="方正小标宋_GBK"/>
          <w:szCs w:val="44"/>
        </w:rPr>
        <w:t>第四章  合同模板</w:t>
      </w:r>
      <w:r>
        <w:tab/>
      </w:r>
      <w:r>
        <w:fldChar w:fldCharType="begin"/>
      </w:r>
      <w:r>
        <w:instrText xml:space="preserve"> PAGEREF _Toc689 \h </w:instrText>
      </w:r>
      <w:r>
        <w:fldChar w:fldCharType="separate"/>
      </w:r>
      <w:r>
        <w:t>22</w:t>
      </w:r>
      <w:r>
        <w:fldChar w:fldCharType="end"/>
      </w:r>
      <w:r>
        <w:rPr>
          <w:rFonts w:hint="eastAsia" w:ascii="宋体" w:hAnsi="宋体" w:cs="宋体"/>
          <w:szCs w:val="60"/>
        </w:rPr>
        <w:fldChar w:fldCharType="end"/>
      </w:r>
    </w:p>
    <w:p w14:paraId="19C6EC17">
      <w:pPr>
        <w:rPr>
          <w:rFonts w:hint="eastAsia" w:ascii="方正小标宋_GBK" w:hAnsi="宋体" w:eastAsia="方正小标宋_GBK"/>
          <w:sz w:val="40"/>
          <w:szCs w:val="60"/>
        </w:rPr>
      </w:pPr>
      <w:r>
        <w:rPr>
          <w:rFonts w:hint="eastAsia" w:ascii="宋体" w:hAnsi="宋体" w:cs="宋体"/>
          <w:szCs w:val="60"/>
        </w:rPr>
        <w:fldChar w:fldCharType="end"/>
      </w:r>
    </w:p>
    <w:p w14:paraId="7F5C0053">
      <w:pPr>
        <w:pStyle w:val="8"/>
      </w:pPr>
    </w:p>
    <w:p w14:paraId="0785656B">
      <w:r>
        <w:rPr>
          <w:rFonts w:hint="eastAsia" w:ascii="方正小标宋_GBK" w:hAnsi="黑体" w:eastAsia="方正小标宋_GBK"/>
          <w:bCs/>
          <w:color w:val="000000" w:themeColor="text1"/>
          <w:sz w:val="44"/>
          <w:szCs w:val="44"/>
          <w14:textFill>
            <w14:solidFill>
              <w14:schemeClr w14:val="tx1"/>
            </w14:solidFill>
          </w14:textFill>
        </w:rPr>
        <w:br w:type="page"/>
      </w:r>
    </w:p>
    <w:p w14:paraId="239077B0">
      <w:pPr>
        <w:pStyle w:val="13"/>
        <w:spacing w:before="468" w:beforeLines="150" w:after="312" w:afterLines="100"/>
        <w:outlineLvl w:val="9"/>
        <w:rPr>
          <w:rFonts w:hint="eastAsia" w:ascii="黑体" w:hAnsi="黑体" w:eastAsia="黑体" w:cs="黑体"/>
          <w:b w:val="0"/>
          <w:sz w:val="36"/>
          <w:szCs w:val="36"/>
        </w:rPr>
      </w:pPr>
      <w:bookmarkStart w:id="2" w:name="_Toc3320"/>
      <w:bookmarkStart w:id="3" w:name="_Toc4386"/>
      <w:bookmarkStart w:id="4" w:name="_Toc11686"/>
      <w:r>
        <w:rPr>
          <w:rFonts w:hint="eastAsia" w:ascii="黑体" w:hAnsi="黑体" w:eastAsia="黑体" w:cs="黑体"/>
          <w:b w:val="0"/>
          <w:sz w:val="36"/>
          <w:szCs w:val="36"/>
        </w:rPr>
        <w:t>警示条款</w:t>
      </w:r>
      <w:bookmarkEnd w:id="2"/>
      <w:bookmarkEnd w:id="3"/>
      <w:bookmarkEnd w:id="4"/>
    </w:p>
    <w:p w14:paraId="784C6F27">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275131AB">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EB2264">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07935C2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3B4307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1584AB3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1DA87F3F">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642664CF">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2FF639A2">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140DCCED">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707B681A">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49559CA3">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74670855">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FB78D08">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2FAA31F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2F4BA43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03E71FB5">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4B81AC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35E8FF38">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693CB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EF3DF1F">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5CC3836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393CEEB">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6875ED6D">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0F22698F">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6384933">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85CF07C">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10829F6A">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7E2A5B3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9FAC95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650ADF73">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6D2B3E9A">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2F0D9581">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372D3D92">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5D9FDD5C">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sectPr>
          <w:headerReference r:id="rId3" w:type="first"/>
          <w:pgSz w:w="11906" w:h="16838"/>
          <w:pgMar w:top="1440" w:right="1800" w:bottom="1440" w:left="1800" w:header="851" w:footer="992" w:gutter="0"/>
          <w:cols w:space="425" w:num="1"/>
          <w:titlePg/>
          <w:docGrid w:type="lines" w:linePitch="312" w:charSpace="0"/>
        </w:sectPr>
      </w:pPr>
    </w:p>
    <w:p w14:paraId="57B21CD1">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8"/>
        <w:rPr>
          <w:rFonts w:hint="eastAsia"/>
        </w:rPr>
      </w:pPr>
    </w:p>
    <w:p w14:paraId="122B4E53">
      <w:pPr>
        <w:pStyle w:val="13"/>
        <w:spacing w:before="156" w:beforeLines="50" w:after="156" w:afterLines="50" w:line="240" w:lineRule="auto"/>
        <w:outlineLvl w:val="0"/>
        <w:rPr>
          <w:rFonts w:ascii="方正小标宋_GBK" w:eastAsia="方正小标宋_GBK"/>
          <w:b w:val="0"/>
          <w:sz w:val="44"/>
          <w:szCs w:val="44"/>
          <w14:ligatures w14:val="none"/>
        </w:rPr>
        <w:sectPr>
          <w:pgSz w:w="11906" w:h="16838"/>
          <w:pgMar w:top="1440" w:right="1800" w:bottom="1440" w:left="1800" w:header="851" w:footer="992" w:gutter="0"/>
          <w:cols w:space="425" w:num="1"/>
          <w:titlePg/>
          <w:docGrid w:type="lines" w:linePitch="312" w:charSpace="0"/>
        </w:sectPr>
      </w:pPr>
    </w:p>
    <w:p w14:paraId="538C990C">
      <w:pPr>
        <w:pStyle w:val="13"/>
        <w:spacing w:before="156" w:beforeLines="50" w:after="156" w:afterLines="50" w:line="240" w:lineRule="auto"/>
        <w:outlineLvl w:val="0"/>
        <w:rPr>
          <w:rFonts w:hint="eastAsia" w:ascii="方正小标宋_GBK" w:eastAsia="方正小标宋_GBK"/>
          <w:b w:val="0"/>
          <w:sz w:val="44"/>
          <w:szCs w:val="44"/>
          <w:lang w:eastAsia="zh-CN"/>
          <w14:ligatures w14:val="none"/>
        </w:rPr>
      </w:pPr>
      <w:bookmarkStart w:id="5" w:name="_Toc12313"/>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0CDE44B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w:t>
      </w:r>
      <w:r>
        <w:rPr>
          <w:rFonts w:hint="eastAsia" w:ascii="仿宋_GB2312" w:hAnsi="黑体" w:eastAsia="仿宋_GB2312"/>
          <w:bCs/>
          <w:color w:val="000000" w:themeColor="text1"/>
          <w:sz w:val="32"/>
          <w:szCs w:val="32"/>
          <w:lang w:val="en-US" w:eastAsia="zh-CN"/>
          <w14:textFill>
            <w14:solidFill>
              <w14:schemeClr w14:val="tx1"/>
            </w14:solidFill>
          </w14:textFill>
        </w:rPr>
        <w:t>采购</w:t>
      </w:r>
      <w:r>
        <w:rPr>
          <w:rFonts w:hint="eastAsia" w:ascii="仿宋_GB2312" w:hAnsi="黑体" w:eastAsia="仿宋_GB2312"/>
          <w:bCs/>
          <w:color w:val="000000" w:themeColor="text1"/>
          <w:sz w:val="32"/>
          <w:szCs w:val="32"/>
          <w:lang w:eastAsia="zh-CN"/>
          <w14:textFill>
            <w14:solidFill>
              <w14:schemeClr w14:val="tx1"/>
            </w14:solidFill>
          </w14:textFill>
        </w:rPr>
        <w:t>实验动物许可证代理申报服务（二次）</w:t>
      </w:r>
      <w:r>
        <w:rPr>
          <w:rFonts w:hint="eastAsia" w:ascii="仿宋_GB2312" w:hAnsi="黑体" w:eastAsia="仿宋_GB2312"/>
          <w:bCs/>
          <w:color w:val="000000" w:themeColor="text1"/>
          <w:sz w:val="32"/>
          <w:szCs w:val="32"/>
          <w14:textFill>
            <w14:solidFill>
              <w14:schemeClr w14:val="tx1"/>
            </w14:solidFill>
          </w14:textFill>
        </w:rPr>
        <w:t>，现诚邀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39E99989">
      <w:pPr>
        <w:numPr>
          <w:ilvl w:val="0"/>
          <w:numId w:val="1"/>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项目背景与概况</w:t>
      </w:r>
    </w:p>
    <w:p w14:paraId="7441C812">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bCs/>
          <w:color w:val="000000" w:themeColor="text1"/>
          <w:sz w:val="32"/>
          <w:szCs w:val="32"/>
          <w:lang w:eastAsia="zh-CN"/>
          <w14:textFill>
            <w14:solidFill>
              <w14:schemeClr w14:val="tx1"/>
            </w14:solidFill>
          </w14:textFill>
        </w:rPr>
        <w:t>实验动物许可证代理申报服务（二次）</w:t>
      </w:r>
    </w:p>
    <w:p w14:paraId="5723D934">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GZSY-ZB-FW-2026041</w:t>
      </w:r>
    </w:p>
    <w:p w14:paraId="553BF60B">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ascii="Calibri" w:hAnsi="Calibri" w:eastAsia="仿宋_GB2312" w:cs="Calibri"/>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65000.00</w:t>
      </w:r>
      <w:r>
        <w:rPr>
          <w:rFonts w:hint="eastAsia" w:ascii="仿宋_GB2312" w:hAnsi="黑体" w:eastAsia="仿宋_GB2312"/>
          <w:bCs/>
          <w:color w:val="000000" w:themeColor="text1"/>
          <w:sz w:val="32"/>
          <w:szCs w:val="32"/>
          <w:lang w:eastAsia="zh-CN"/>
          <w14:textFill>
            <w14:solidFill>
              <w14:schemeClr w14:val="tx1"/>
            </w14:solidFill>
          </w14:textFill>
        </w:rPr>
        <w:t>元</w:t>
      </w:r>
    </w:p>
    <w:p w14:paraId="1F4F108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最高限价：¥61000.00元</w:t>
      </w:r>
    </w:p>
    <w:p w14:paraId="745F785A">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bCs/>
          <w:color w:val="000000" w:themeColor="text1"/>
          <w:sz w:val="32"/>
          <w:szCs w:val="32"/>
          <w:lang w:val="en-US" w:eastAsia="zh-CN"/>
          <w14:textFill>
            <w14:solidFill>
              <w14:schemeClr w14:val="tx1"/>
            </w14:solidFill>
          </w14:textFill>
        </w:rPr>
        <w:t>询价</w:t>
      </w:r>
    </w:p>
    <w:p w14:paraId="6B97806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服务期限：</w:t>
      </w:r>
      <w:r>
        <w:rPr>
          <w:rFonts w:hint="eastAsia" w:ascii="仿宋_GB2312" w:hAnsi="黑体" w:eastAsia="仿宋_GB2312"/>
          <w:bCs/>
          <w:color w:val="000000" w:themeColor="text1"/>
          <w:sz w:val="32"/>
          <w:szCs w:val="32"/>
          <w:lang w:val="en-US" w:eastAsia="zh-CN"/>
          <w14:textFill>
            <w14:solidFill>
              <w14:schemeClr w14:val="tx1"/>
            </w14:solidFill>
          </w14:textFill>
        </w:rPr>
        <w:t>合同签订之日起至项目验收完毕</w:t>
      </w:r>
    </w:p>
    <w:p w14:paraId="7C6D2238">
      <w:pPr>
        <w:numPr>
          <w:ilvl w:val="0"/>
          <w:numId w:val="1"/>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资质要求</w:t>
      </w:r>
    </w:p>
    <w:p w14:paraId="50CA3DC8">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6A80722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6876331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2453701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5E9C26CB">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4C475B83">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0CFFB6DC">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78DDC559">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569289FE">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1183BBCF">
      <w:pPr>
        <w:numPr>
          <w:ilvl w:val="0"/>
          <w:numId w:val="2"/>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14781127">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011CA0EF">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5F0D7FE1">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7811C9CC">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p>
    <w:p w14:paraId="0263BBDE">
      <w:pPr>
        <w:numPr>
          <w:ilvl w:val="0"/>
          <w:numId w:val="0"/>
        </w:numPr>
        <w:tabs>
          <w:tab w:val="left" w:pos="312"/>
        </w:tabs>
        <w:spacing w:line="560" w:lineRule="exact"/>
        <w:ind w:left="0" w:leftChars="0" w:firstLine="643" w:firstLineChars="200"/>
        <w:jc w:val="left"/>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供应商须提供至少2项完成的实验动物使用许可证申报或实验动物设施运营管理的有效业绩。须提供合同关键页（含项目名称、服务内容、双方盖章页）及取得的实验动物使用许可证扫描件（如有）作为证明材料。（材料不全降视为响应失败）</w:t>
      </w:r>
    </w:p>
    <w:p w14:paraId="36956091">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1D65E3E9">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w:t>
      </w: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年</w:t>
      </w:r>
      <w:r>
        <w:rPr>
          <w:rFonts w:hint="eastAsia" w:ascii="仿宋_GB2312" w:hAnsi="黑体" w:eastAsia="仿宋_GB2312"/>
          <w:bCs/>
          <w:color w:val="000000" w:themeColor="text1"/>
          <w:sz w:val="32"/>
          <w:szCs w:val="32"/>
          <w:lang w:val="en-US" w:eastAsia="zh-CN"/>
          <w14:textFill>
            <w14:solidFill>
              <w14:schemeClr w14:val="tx1"/>
            </w14:solidFill>
          </w14:textFill>
        </w:rPr>
        <w:t>5月26</w:t>
      </w:r>
      <w:bookmarkStart w:id="21" w:name="_GoBack"/>
      <w:bookmarkEnd w:id="21"/>
      <w:r>
        <w:rPr>
          <w:rFonts w:hint="eastAsia" w:ascii="仿宋_GB2312" w:hAnsi="黑体" w:eastAsia="仿宋_GB2312"/>
          <w:bCs/>
          <w:color w:val="000000" w:themeColor="text1"/>
          <w:sz w:val="32"/>
          <w:szCs w:val="32"/>
          <w:lang w:val="en-US" w:eastAsia="zh-CN"/>
          <w14:textFill>
            <w14:solidFill>
              <w14:schemeClr w14:val="tx1"/>
            </w14:solidFill>
          </w14:textFill>
        </w:rPr>
        <w:t>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5E075333">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综合楼1310室</w:t>
      </w:r>
    </w:p>
    <w:p w14:paraId="3BBDB7EE">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019107F3">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w:t>
      </w:r>
      <w:r>
        <w:rPr>
          <w:rFonts w:hint="eastAsia" w:ascii="仿宋_GB2312" w:hAnsi="黑体" w:eastAsia="仿宋_GB2312"/>
          <w:bCs/>
          <w:color w:val="000000" w:themeColor="text1"/>
          <w:sz w:val="32"/>
          <w:szCs w:val="32"/>
          <w:lang w:val="en-US" w:eastAsia="zh-CN" w:bidi="ar"/>
          <w14:textFill>
            <w14:solidFill>
              <w14:schemeClr w14:val="tx1"/>
            </w14:solidFill>
          </w14:textFill>
        </w:rPr>
        <w:t>所有因素</w:t>
      </w:r>
      <w:r>
        <w:rPr>
          <w:rFonts w:hint="eastAsia" w:ascii="仿宋_GB2312" w:hAnsi="黑体" w:eastAsia="仿宋_GB2312"/>
          <w:bCs/>
          <w:color w:val="000000" w:themeColor="text1"/>
          <w:sz w:val="32"/>
          <w:szCs w:val="32"/>
          <w:lang w:bidi="ar"/>
          <w14:textFill>
            <w14:solidFill>
              <w14:schemeClr w14:val="tx1"/>
            </w14:solidFill>
          </w14:textFill>
        </w:rPr>
        <w:t>基础上</w:t>
      </w:r>
      <w:r>
        <w:rPr>
          <w:rFonts w:hint="eastAsia" w:ascii="仿宋_GB2312" w:hAnsi="黑体" w:eastAsia="仿宋_GB2312"/>
          <w:bCs/>
          <w:color w:val="000000" w:themeColor="text1"/>
          <w:sz w:val="32"/>
          <w:szCs w:val="32"/>
          <w:lang w:val="en-US" w:eastAsia="zh-CN" w:bidi="ar"/>
          <w14:textFill>
            <w14:solidFill>
              <w14:schemeClr w14:val="tx1"/>
            </w14:solidFill>
          </w14:textFill>
        </w:rPr>
        <w:t>进行一轮报价，报价最低的为预成交供应商。</w:t>
      </w:r>
    </w:p>
    <w:p w14:paraId="50F1A368">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246333C5">
      <w:pPr>
        <w:pStyle w:val="8"/>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w:t>
      </w:r>
      <w:r>
        <w:rPr>
          <w:rFonts w:hint="eastAsia" w:ascii="仿宋_GB2312" w:hAnsi="黑体" w:eastAsia="仿宋_GB2312"/>
          <w:b/>
          <w:bCs w:val="0"/>
          <w:color w:val="000000" w:themeColor="text1"/>
          <w:sz w:val="32"/>
          <w:szCs w:val="32"/>
          <w:u w:val="single"/>
          <w:lang w:val="en-US" w:eastAsia="zh-CN" w:bidi="ar"/>
          <w14:textFill>
            <w14:solidFill>
              <w14:schemeClr w14:val="tx1"/>
            </w14:solidFill>
          </w14:textFill>
        </w:rPr>
        <w:t>其他未列明行业</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3F2DBF18">
      <w:pPr>
        <w:pStyle w:val="8"/>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2.关于享受优惠政策的主体及价格扣除比例据《财政部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40CF9DF1">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8CB38C1">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报名时间：本公告发布之日起至2026年5月26日8:00。</w:t>
      </w:r>
    </w:p>
    <w:p w14:paraId="0873AAF4">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6E737AE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4EB0FF31">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40442352">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3BAF7FC2">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2CCEA036">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05F40D61">
      <w:pPr>
        <w:tabs>
          <w:tab w:val="left" w:pos="312"/>
        </w:tabs>
        <w:spacing w:line="560" w:lineRule="exact"/>
        <w:ind w:firstLine="643" w:firstLineChars="200"/>
        <w:jc w:val="left"/>
        <w:rPr>
          <w:rFonts w:hint="eastAsia" w:ascii="仿宋_GB2312" w:hAnsi="Times New Roman" w:eastAsia="仿宋_GB2312" w:cs="Times New Roman"/>
          <w:b/>
          <w:bCs/>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344EC667">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2458CE6F">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38213C48">
      <w:pPr>
        <w:pStyle w:val="8"/>
        <w:ind w:firstLine="640" w:firstLineChars="200"/>
        <w:rPr>
          <w:rFonts w:hint="default"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研究院：霍</w:t>
      </w:r>
      <w:r>
        <w:rPr>
          <w:rFonts w:hint="eastAsia" w:ascii="仿宋_GB2312" w:eastAsia="仿宋_GB2312"/>
          <w:sz w:val="32"/>
          <w:szCs w:val="32"/>
          <w:lang w:bidi="ar"/>
          <w14:ligatures w14:val="none"/>
        </w:rPr>
        <w:t xml:space="preserve">老师 </w:t>
      </w:r>
      <w:r>
        <w:rPr>
          <w:rFonts w:hint="eastAsia" w:ascii="仿宋_GB2312" w:eastAsia="仿宋_GB2312"/>
          <w:sz w:val="32"/>
          <w:szCs w:val="32"/>
          <w:lang w:val="en-US" w:eastAsia="zh-CN" w:bidi="ar"/>
          <w14:ligatures w14:val="none"/>
        </w:rPr>
        <w:t>0755-83549948</w:t>
      </w:r>
    </w:p>
    <w:p w14:paraId="3758FCE3">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4FA5035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w:t>
      </w:r>
      <w:r>
        <w:rPr>
          <w:rFonts w:hint="eastAsia" w:ascii="仿宋_GB2312" w:eastAsia="仿宋_GB2312"/>
          <w:sz w:val="32"/>
          <w:szCs w:val="32"/>
          <w:lang w:val="en-US" w:eastAsia="zh-CN" w:bidi="ar"/>
          <w14:ligatures w14:val="none"/>
        </w:rPr>
        <w:t>6</w:t>
      </w:r>
      <w:r>
        <w:rPr>
          <w:rFonts w:hint="eastAsia" w:ascii="仿宋_GB2312" w:eastAsia="仿宋_GB2312"/>
          <w:sz w:val="32"/>
          <w:szCs w:val="32"/>
          <w:lang w:bidi="ar"/>
          <w14:ligatures w14:val="none"/>
        </w:rPr>
        <w:t>年</w:t>
      </w:r>
      <w:r>
        <w:rPr>
          <w:rFonts w:hint="eastAsia" w:ascii="仿宋_GB2312" w:eastAsia="仿宋_GB2312"/>
          <w:sz w:val="32"/>
          <w:szCs w:val="32"/>
          <w:lang w:val="en-US" w:eastAsia="zh-CN" w:bidi="ar"/>
          <w14:ligatures w14:val="none"/>
        </w:rPr>
        <w:t>5月22日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08C9F1EB">
      <w:pPr>
        <w:pStyle w:val="13"/>
        <w:numPr>
          <w:ilvl w:val="0"/>
          <w:numId w:val="3"/>
        </w:numPr>
        <w:spacing w:before="156" w:beforeLines="50" w:after="156" w:afterLines="50" w:line="240" w:lineRule="auto"/>
        <w:outlineLvl w:val="0"/>
        <w:rPr>
          <w:rFonts w:ascii="方正小标宋_GBK" w:eastAsia="方正小标宋_GBK"/>
          <w:b w:val="0"/>
          <w:sz w:val="44"/>
          <w:szCs w:val="44"/>
          <w14:ligatures w14:val="none"/>
        </w:rPr>
      </w:pPr>
      <w:r>
        <w:rPr>
          <w:rFonts w:hint="eastAsia" w:ascii="方正小标宋_GBK" w:eastAsia="方正小标宋_GBK"/>
          <w:b w:val="0"/>
          <w:sz w:val="44"/>
          <w:szCs w:val="44"/>
          <w14:ligatures w14:val="none"/>
        </w:rPr>
        <w:t xml:space="preserve">  </w:t>
      </w:r>
      <w:bookmarkStart w:id="8" w:name="_Toc6340"/>
      <w:r>
        <w:rPr>
          <w:rFonts w:hint="eastAsia" w:ascii="黑体" w:hAnsi="黑体" w:eastAsia="黑体" w:cs="黑体"/>
          <w:b/>
          <w:color w:val="000000" w:themeColor="text1"/>
          <w:sz w:val="32"/>
          <w:szCs w:val="32"/>
          <w14:textFill>
            <w14:solidFill>
              <w14:schemeClr w14:val="tx1"/>
            </w14:solidFill>
          </w14:textFill>
        </w:rPr>
        <w:t>★</w:t>
      </w:r>
      <w:r>
        <w:rPr>
          <w:rFonts w:hint="eastAsia" w:ascii="方正小标宋_GBK" w:eastAsia="方正小标宋_GBK"/>
          <w:b w:val="0"/>
          <w:sz w:val="44"/>
          <w:szCs w:val="44"/>
          <w:lang w:val="en-US" w:eastAsia="zh-CN"/>
          <w14:ligatures w14:val="none"/>
        </w:rPr>
        <w:t>采购要求</w:t>
      </w:r>
      <w:bookmarkEnd w:id="8"/>
    </w:p>
    <w:p w14:paraId="4C4A5690">
      <w:pPr>
        <w:pStyle w:val="13"/>
        <w:numPr>
          <w:ilvl w:val="0"/>
          <w:numId w:val="0"/>
        </w:numPr>
        <w:spacing w:before="156" w:beforeLines="50" w:after="156" w:afterLines="50" w:line="240" w:lineRule="auto"/>
        <w:jc w:val="center"/>
        <w:outlineLvl w:val="0"/>
        <w:rPr>
          <w:rFonts w:ascii="方正小标宋_GBK" w:eastAsia="方正小标宋_GBK"/>
          <w:b w:val="0"/>
          <w:sz w:val="44"/>
          <w:szCs w:val="44"/>
          <w14:ligatures w14:val="none"/>
        </w:rPr>
      </w:pPr>
      <w:r>
        <w:rPr>
          <w:rFonts w:hint="eastAsia" w:ascii="方正小标宋_GBK" w:eastAsia="方正小标宋_GBK"/>
          <w:b w:val="0"/>
          <w:color w:val="FF0000"/>
          <w:sz w:val="32"/>
          <w:szCs w:val="32"/>
          <w:lang w:val="en-US" w:eastAsia="zh-CN"/>
          <w14:ligatures w14:val="none"/>
        </w:rPr>
        <w:t>（以下所有内容均为实质性条款，供应商须完全响应）</w:t>
      </w:r>
    </w:p>
    <w:p w14:paraId="5D8F49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22"/>
          <w:rFonts w:hint="eastAsia" w:ascii="黑体" w:hAnsi="黑体" w:eastAsia="黑体" w:cs="黑体"/>
          <w:b w:val="0"/>
          <w:bCs w:val="0"/>
          <w:sz w:val="28"/>
          <w:szCs w:val="28"/>
          <w:lang w:val="en-US" w:eastAsia="zh-CN"/>
        </w:rPr>
      </w:pPr>
      <w:bookmarkStart w:id="9" w:name="_Toc8484"/>
      <w:bookmarkStart w:id="10" w:name="_Toc31937"/>
      <w:r>
        <w:rPr>
          <w:rStyle w:val="22"/>
          <w:rFonts w:hint="eastAsia" w:ascii="黑体" w:hAnsi="黑体" w:eastAsia="黑体" w:cs="黑体"/>
          <w:b w:val="0"/>
          <w:bCs w:val="0"/>
          <w:sz w:val="28"/>
          <w:szCs w:val="28"/>
          <w:lang w:val="en-US" w:eastAsia="zh-CN"/>
        </w:rPr>
        <w:t>一、服务内容及技术要求</w:t>
      </w:r>
    </w:p>
    <w:p w14:paraId="40CE421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1、文件体系建设：包括管理制度、各类操作规程、运行记录表、上墙资料等文件体系的建立和设计制作。</w:t>
      </w:r>
    </w:p>
    <w:p w14:paraId="676B63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2、环境检测：依据国标《GB14925-2023实验动物环境及设施》执行。</w:t>
      </w:r>
    </w:p>
    <w:p w14:paraId="18D851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3、组织人员培训：动物屏障设施入室培训、动物学基础知识培训及现场评审问答环节培训。</w:t>
      </w:r>
    </w:p>
    <w:p w14:paraId="13CE98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4、申请环境检测及许可评审。</w:t>
      </w:r>
    </w:p>
    <w:p w14:paraId="2ACB2A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5、项目服务团队成员不少于2人（需包含项目负责人1名，执业兽医师1名）。同时满足以下要求：</w:t>
      </w:r>
    </w:p>
    <w:p w14:paraId="618092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（1）服务人员应具备实验动物相关专业背景或持有实验动物从业人员上岗资格证明。</w:t>
      </w:r>
    </w:p>
    <w:p w14:paraId="08703E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（2）供应商应在响应文件中明确拟派人员的姓名、资质证书及在本单位的社保缴纳证明。</w:t>
      </w:r>
    </w:p>
    <w:p w14:paraId="6CC963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（3）乙方不得擅自更换项目负责人、执业兽医师，确需更换，须经甲方书面同意。</w:t>
      </w:r>
    </w:p>
    <w:p w14:paraId="7131C3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4）合同履行期间，供应商应确保项目团队成员保持通讯畅通，能够通过电话、邮件、即时通讯工具等方式及时响应采购人的需求。采购人提出需求后，供应商应在2小时内予以响应。如采购人判断确需现场指导，供应商应在24小时内安排相关人员到达采购人现场。</w:t>
      </w:r>
    </w:p>
    <w:p w14:paraId="33B93C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22"/>
          <w:rFonts w:hint="eastAsia" w:ascii="黑体" w:hAnsi="黑体" w:eastAsia="黑体" w:cs="黑体"/>
          <w:b w:val="0"/>
          <w:bCs w:val="0"/>
          <w:sz w:val="28"/>
          <w:szCs w:val="28"/>
          <w:lang w:val="en-US" w:eastAsia="zh-CN"/>
        </w:rPr>
      </w:pPr>
      <w:bookmarkStart w:id="11" w:name="_Toc9086"/>
      <w:r>
        <w:rPr>
          <w:rStyle w:val="22"/>
          <w:rFonts w:hint="eastAsia" w:ascii="黑体" w:hAnsi="黑体" w:eastAsia="黑体" w:cs="黑体"/>
          <w:b w:val="0"/>
          <w:bCs w:val="0"/>
          <w:sz w:val="28"/>
          <w:szCs w:val="28"/>
          <w:lang w:val="en-US" w:eastAsia="zh-CN"/>
        </w:rPr>
        <w:t>二、商务要求：</w:t>
      </w:r>
    </w:p>
    <w:bookmarkEnd w:id="11"/>
    <w:p w14:paraId="03C8A8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bookmarkStart w:id="12" w:name="_Toc4019"/>
      <w:r>
        <w:rPr>
          <w:rStyle w:val="22"/>
          <w:rFonts w:hint="eastAsia" w:ascii="仿宋_GB2312" w:hAnsi="仿宋_GB2312" w:eastAsia="仿宋_GB2312" w:cs="仿宋_GB2312"/>
          <w:b w:val="0"/>
          <w:bCs w:val="0"/>
          <w:sz w:val="28"/>
          <w:szCs w:val="28"/>
          <w:lang w:val="en-US" w:eastAsia="zh-CN"/>
        </w:rPr>
        <w:t>（一）服务期：</w:t>
      </w:r>
    </w:p>
    <w:p w14:paraId="7EDAF2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1、自签订合同之日起180个自然日内，供应商应完成合同约定的全部服务内容，并确保得壹中医药创新转化中心动物实验室取得实验动物使用许可证。</w:t>
      </w:r>
    </w:p>
    <w:p w14:paraId="559270A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2、合同期满前30日，经双方协商一致，可延长合同期限。因采购人原因或不可抗力导致服务内容未完成的，采购人有权决定是否延长合同期限，供应商应予以配合；因供应商原因导致服务内容未完成的，采购人有权单方决定不予延长，且不承担任何责任。除前款规定情形外，合同期满即终止。</w:t>
      </w:r>
    </w:p>
    <w:p w14:paraId="217393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（二）服务地点：深圳市福田区福田保税区市花路21号502室。</w:t>
      </w:r>
    </w:p>
    <w:p w14:paraId="63F0E7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（三）报价要求：</w:t>
      </w:r>
    </w:p>
    <w:p w14:paraId="568DB4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1.</w:t>
      </w:r>
      <w:r>
        <w:rPr>
          <w:rStyle w:val="22"/>
          <w:rFonts w:hint="default" w:ascii="仿宋_GB2312" w:hAnsi="仿宋_GB2312" w:eastAsia="仿宋_GB2312" w:cs="仿宋_GB2312"/>
          <w:b/>
          <w:bCs/>
          <w:color w:val="FF0000"/>
          <w:sz w:val="28"/>
          <w:szCs w:val="28"/>
          <w:lang w:val="en-US" w:eastAsia="zh-CN"/>
        </w:rPr>
        <w:t>总价包干，含税金额不超过￥</w:t>
      </w:r>
      <w:r>
        <w:rPr>
          <w:rStyle w:val="22"/>
          <w:rFonts w:hint="eastAsia" w:ascii="仿宋_GB2312" w:hAnsi="仿宋_GB2312" w:eastAsia="仿宋_GB2312" w:cs="仿宋_GB2312"/>
          <w:b/>
          <w:bCs/>
          <w:color w:val="FF0000"/>
          <w:sz w:val="28"/>
          <w:szCs w:val="28"/>
          <w:lang w:val="en-US" w:eastAsia="zh-CN"/>
        </w:rPr>
        <w:t>61000.00元</w:t>
      </w:r>
    </w:p>
    <w:bookmarkEnd w:id="12"/>
    <w:p w14:paraId="18FA68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bookmarkStart w:id="13" w:name="_Toc24629"/>
      <w:r>
        <w:rPr>
          <w:rStyle w:val="22"/>
          <w:rFonts w:hint="eastAsia" w:ascii="仿宋_GB2312" w:hAnsi="仿宋_GB2312" w:eastAsia="仿宋_GB2312" w:cs="仿宋_GB2312"/>
          <w:b w:val="0"/>
          <w:bCs w:val="0"/>
          <w:sz w:val="28"/>
          <w:szCs w:val="28"/>
          <w:lang w:val="en-US" w:eastAsia="zh-CN"/>
        </w:rPr>
        <w:t>（四）</w:t>
      </w:r>
      <w:r>
        <w:rPr>
          <w:rStyle w:val="22"/>
          <w:rFonts w:hint="default" w:ascii="仿宋_GB2312" w:hAnsi="仿宋_GB2312" w:eastAsia="仿宋_GB2312" w:cs="仿宋_GB2312"/>
          <w:b w:val="0"/>
          <w:bCs w:val="0"/>
          <w:sz w:val="28"/>
          <w:szCs w:val="28"/>
          <w:lang w:val="en-US" w:eastAsia="zh-CN"/>
        </w:rPr>
        <w:t>付款方式：由</w:t>
      </w:r>
      <w:r>
        <w:rPr>
          <w:rStyle w:val="22"/>
          <w:rFonts w:hint="eastAsia" w:ascii="仿宋_GB2312" w:hAnsi="仿宋_GB2312" w:eastAsia="仿宋_GB2312" w:cs="仿宋_GB2312"/>
          <w:b w:val="0"/>
          <w:bCs w:val="0"/>
          <w:sz w:val="28"/>
          <w:szCs w:val="28"/>
          <w:lang w:val="en-US" w:eastAsia="zh-CN"/>
        </w:rPr>
        <w:t>采购人</w:t>
      </w:r>
      <w:r>
        <w:rPr>
          <w:rStyle w:val="22"/>
          <w:rFonts w:hint="default" w:ascii="仿宋_GB2312" w:hAnsi="仿宋_GB2312" w:eastAsia="仿宋_GB2312" w:cs="仿宋_GB2312"/>
          <w:b w:val="0"/>
          <w:bCs w:val="0"/>
          <w:sz w:val="28"/>
          <w:szCs w:val="28"/>
          <w:lang w:val="en-US" w:eastAsia="zh-CN"/>
        </w:rPr>
        <w:t>分期支付。</w:t>
      </w:r>
    </w:p>
    <w:p w14:paraId="16434BA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1、第一期（合同签订后支付50%）：待合同签订后五个工作日内，供应商向</w:t>
      </w:r>
      <w:r>
        <w:rPr>
          <w:rStyle w:val="22"/>
          <w:rFonts w:hint="eastAsia" w:ascii="仿宋_GB2312" w:hAnsi="仿宋_GB2312" w:eastAsia="仿宋_GB2312" w:cs="仿宋_GB2312"/>
          <w:b w:val="0"/>
          <w:bCs w:val="0"/>
          <w:sz w:val="28"/>
          <w:szCs w:val="28"/>
          <w:lang w:val="en-US" w:eastAsia="zh-CN"/>
        </w:rPr>
        <w:t>采购人</w:t>
      </w:r>
      <w:r>
        <w:rPr>
          <w:rStyle w:val="22"/>
          <w:rFonts w:hint="default" w:ascii="仿宋_GB2312" w:hAnsi="仿宋_GB2312" w:eastAsia="仿宋_GB2312" w:cs="仿宋_GB2312"/>
          <w:b w:val="0"/>
          <w:bCs w:val="0"/>
          <w:sz w:val="28"/>
          <w:szCs w:val="28"/>
          <w:lang w:val="en-US" w:eastAsia="zh-CN"/>
        </w:rPr>
        <w:t>出具合同总金额50%的发票，自</w:t>
      </w:r>
      <w:r>
        <w:rPr>
          <w:rStyle w:val="22"/>
          <w:rFonts w:hint="eastAsia" w:ascii="仿宋_GB2312" w:hAnsi="仿宋_GB2312" w:eastAsia="仿宋_GB2312" w:cs="仿宋_GB2312"/>
          <w:b w:val="0"/>
          <w:bCs w:val="0"/>
          <w:sz w:val="28"/>
          <w:szCs w:val="28"/>
          <w:lang w:val="en-US" w:eastAsia="zh-CN"/>
        </w:rPr>
        <w:t>采购人</w:t>
      </w:r>
      <w:r>
        <w:rPr>
          <w:rStyle w:val="22"/>
          <w:rFonts w:hint="default" w:ascii="仿宋_GB2312" w:hAnsi="仿宋_GB2312" w:eastAsia="仿宋_GB2312" w:cs="仿宋_GB2312"/>
          <w:b w:val="0"/>
          <w:bCs w:val="0"/>
          <w:sz w:val="28"/>
          <w:szCs w:val="28"/>
          <w:lang w:val="en-US" w:eastAsia="zh-CN"/>
        </w:rPr>
        <w:t>财务收到发票及相应的凭证资料后10个工作日内向供应商支付合同总金额50%的款项。</w:t>
      </w:r>
    </w:p>
    <w:p w14:paraId="195B71A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2、第二期（取得许可证后支付50%）：在动物设施通过广东省科学技术厅现场评审并取得实验动物使用许可证后，供应商需向</w:t>
      </w:r>
      <w:r>
        <w:rPr>
          <w:rStyle w:val="22"/>
          <w:rFonts w:hint="eastAsia" w:ascii="仿宋_GB2312" w:hAnsi="仿宋_GB2312" w:eastAsia="仿宋_GB2312" w:cs="仿宋_GB2312"/>
          <w:b w:val="0"/>
          <w:bCs w:val="0"/>
          <w:sz w:val="28"/>
          <w:szCs w:val="28"/>
          <w:lang w:val="en-US" w:eastAsia="zh-CN"/>
        </w:rPr>
        <w:t>采购人</w:t>
      </w:r>
      <w:r>
        <w:rPr>
          <w:rStyle w:val="22"/>
          <w:rFonts w:hint="default" w:ascii="仿宋_GB2312" w:hAnsi="仿宋_GB2312" w:eastAsia="仿宋_GB2312" w:cs="仿宋_GB2312"/>
          <w:b w:val="0"/>
          <w:bCs w:val="0"/>
          <w:sz w:val="28"/>
          <w:szCs w:val="28"/>
          <w:lang w:val="en-US" w:eastAsia="zh-CN"/>
        </w:rPr>
        <w:t>出具合同总金额50%的发票，自</w:t>
      </w:r>
      <w:r>
        <w:rPr>
          <w:rStyle w:val="22"/>
          <w:rFonts w:hint="eastAsia" w:ascii="仿宋_GB2312" w:hAnsi="仿宋_GB2312" w:eastAsia="仿宋_GB2312" w:cs="仿宋_GB2312"/>
          <w:b w:val="0"/>
          <w:bCs w:val="0"/>
          <w:sz w:val="28"/>
          <w:szCs w:val="28"/>
          <w:lang w:val="en-US" w:eastAsia="zh-CN"/>
        </w:rPr>
        <w:t>采购人</w:t>
      </w:r>
      <w:r>
        <w:rPr>
          <w:rStyle w:val="22"/>
          <w:rFonts w:hint="default" w:ascii="仿宋_GB2312" w:hAnsi="仿宋_GB2312" w:eastAsia="仿宋_GB2312" w:cs="仿宋_GB2312"/>
          <w:b w:val="0"/>
          <w:bCs w:val="0"/>
          <w:sz w:val="28"/>
          <w:szCs w:val="28"/>
          <w:lang w:val="en-US" w:eastAsia="zh-CN"/>
        </w:rPr>
        <w:t>财务收到发票及相应的凭证资料后10个工作日内向供应商支付合同总金额50%的款项。</w:t>
      </w:r>
    </w:p>
    <w:p w14:paraId="04E630A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w:t>
      </w:r>
      <w:r>
        <w:rPr>
          <w:rStyle w:val="22"/>
          <w:rFonts w:hint="eastAsia" w:ascii="仿宋_GB2312" w:hAnsi="仿宋_GB2312" w:eastAsia="仿宋_GB2312" w:cs="仿宋_GB2312"/>
          <w:b w:val="0"/>
          <w:bCs w:val="0"/>
          <w:sz w:val="28"/>
          <w:szCs w:val="28"/>
          <w:lang w:val="en-US" w:eastAsia="zh-CN"/>
        </w:rPr>
        <w:t>五</w:t>
      </w:r>
      <w:r>
        <w:rPr>
          <w:rStyle w:val="22"/>
          <w:rFonts w:hint="default" w:ascii="仿宋_GB2312" w:hAnsi="仿宋_GB2312" w:eastAsia="仿宋_GB2312" w:cs="仿宋_GB2312"/>
          <w:b w:val="0"/>
          <w:bCs w:val="0"/>
          <w:sz w:val="28"/>
          <w:szCs w:val="28"/>
          <w:lang w:val="en-US" w:eastAsia="zh-CN"/>
        </w:rPr>
        <w:t>）验收方式：</w:t>
      </w:r>
    </w:p>
    <w:p w14:paraId="2CD5F3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1、过程验收：过程验收作为过程管控节点，不单独作为付款条件。供应商在完成文件体系建设、环境检测达标、人员培训后，应接受院方组织的过程验收，以确认服务进度与质量。过程验收的结果不影响第二期款项的支付，但院方有权根据过程验收发现的问题要求供应商限期整改，整改情况纳入最终验收评价。</w:t>
      </w:r>
    </w:p>
    <w:p w14:paraId="08E9C6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2、最终验收：供应商完成合同约定的全部服务内容，并协助院方取得广东省科学技术厅颁发的实验动物使用许可证后，即视为最终验收合格。最终验收合格是合同履行完毕的标志。</w:t>
      </w:r>
    </w:p>
    <w:p w14:paraId="28B1F5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（六）违约责任：</w:t>
      </w:r>
    </w:p>
    <w:p w14:paraId="094D38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1、若因供应商原因，未能在合同约定的服务期限内完成最终验收（取得实验动物使用许可证），每逾期一天，应向院方支付合同总金额万分之三的违约金，但延迟履行系因采购人原因或不可抗力造成的除外。</w:t>
      </w:r>
    </w:p>
    <w:p w14:paraId="06D2D6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2、若因供应商原因导致延期超过三个月，院方有权选择以下任一方式处理：</w:t>
      </w:r>
    </w:p>
    <w:p w14:paraId="32A4ECA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（1）顺延期限：给予供应商额外的合理期限继续履行合同，不追究逾期违约金。</w:t>
      </w:r>
    </w:p>
    <w:p w14:paraId="72A46C6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2）解除合同：因供应商原因导致院方解除合同的，供应商应在收到院方书面通知后十日内，向院方退还已支付的全部款项，同时向院方支付合同总金额15%的违约金。若该违约金不足以弥补院方因此遭受的全部实际损失（包括但不限于诉讼费、律师费、鉴定费、公证费、保全费、差旅费等），供应商应就差额部分继续赔偿。</w:t>
      </w:r>
    </w:p>
    <w:p w14:paraId="11ED0A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（七）知识产权与保密义务：</w:t>
      </w:r>
    </w:p>
    <w:p w14:paraId="6BDAD6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1、供应商为履行本合同而形成的一切文件、制度、操作规程、记录表单、设计方案及其他资料（包括纸质版与电子版）的知识产权及所有权，均归广州中医药大学深圳医院（福田）所有。供应商应在最终验收后向院方交付全部完整资料，不得留存或用于本合同目的之外的用途。</w:t>
      </w:r>
    </w:p>
    <w:p w14:paraId="4B711B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2、供应商应对在合作过程中知悉的院方未公开信息、技术资料、经营数据等承担保密义务。保密期限自合同签订之日起至合同终止或解除后三年止。未经院方书面同意，供应商不得向任何第三方泄露、使用或允许他人使用上述保密信息。</w:t>
      </w:r>
    </w:p>
    <w:bookmarkEnd w:id="13"/>
    <w:p w14:paraId="12D2D900">
      <w:pPr>
        <w:rPr>
          <w:rStyle w:val="22"/>
          <w:rFonts w:hint="eastAsia"/>
          <w:b/>
          <w:bCs/>
        </w:rPr>
      </w:pPr>
      <w:bookmarkStart w:id="14" w:name="_Toc24130"/>
      <w:r>
        <w:rPr>
          <w:rStyle w:val="22"/>
          <w:rFonts w:hint="eastAsia" w:ascii="仿宋_GB2312" w:hAnsi="仿宋_GB2312" w:eastAsia="仿宋_GB2312" w:cs="仿宋_GB2312"/>
          <w:b w:val="0"/>
          <w:bCs w:val="0"/>
          <w:sz w:val="32"/>
          <w:szCs w:val="32"/>
        </w:rPr>
        <w:t>​</w:t>
      </w:r>
      <w:r>
        <w:rPr>
          <w:rStyle w:val="22"/>
          <w:rFonts w:hint="eastAsia"/>
          <w:b/>
          <w:bCs/>
        </w:rPr>
        <w:br w:type="page"/>
      </w:r>
    </w:p>
    <w:bookmarkEnd w:id="14"/>
    <w:p w14:paraId="4699D8DA">
      <w:pPr>
        <w:pStyle w:val="2"/>
        <w:bidi w:val="0"/>
        <w:jc w:val="center"/>
        <w:rPr>
          <w:rStyle w:val="22"/>
          <w:b/>
          <w:bCs/>
        </w:rPr>
      </w:pPr>
      <w:bookmarkStart w:id="15" w:name="_Toc18576"/>
      <w:r>
        <w:rPr>
          <w:rStyle w:val="22"/>
          <w:rFonts w:hint="eastAsia"/>
          <w:b/>
          <w:bCs/>
        </w:rPr>
        <w:t>第三章  响应文件模板</w:t>
      </w:r>
      <w:bookmarkEnd w:id="9"/>
      <w:bookmarkEnd w:id="10"/>
      <w:bookmarkEnd w:id="15"/>
    </w:p>
    <w:p w14:paraId="696C9EDC">
      <w:pPr>
        <w:spacing w:beforeAutospacing="0"/>
      </w:pPr>
    </w:p>
    <w:p w14:paraId="34540A21">
      <w:pPr>
        <w:pStyle w:val="8"/>
        <w:ind w:firstLine="640" w:firstLineChars="200"/>
        <w:rPr>
          <w:rFonts w:hint="default" w:eastAsia="仿宋_GB2312"/>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打印并每页盖章后携带至</w:t>
      </w:r>
      <w:r>
        <w:rPr>
          <w:rFonts w:hint="eastAsia" w:ascii="仿宋_GB2312" w:eastAsia="仿宋_GB2312"/>
          <w:b/>
          <w:bCs/>
          <w:color w:val="FF0000"/>
          <w:sz w:val="32"/>
          <w:szCs w:val="32"/>
          <w:lang w:val="en-US" w:eastAsia="zh-CN"/>
        </w:rPr>
        <w:t>开标</w:t>
      </w:r>
      <w:r>
        <w:rPr>
          <w:rFonts w:hint="eastAsia" w:ascii="仿宋_GB2312" w:eastAsia="仿宋_GB2312"/>
          <w:b/>
          <w:bCs/>
          <w:color w:val="FF0000"/>
          <w:sz w:val="32"/>
          <w:szCs w:val="32"/>
        </w:rPr>
        <w:t>判地点</w:t>
      </w:r>
      <w:r>
        <w:rPr>
          <w:rFonts w:hint="eastAsia" w:ascii="仿宋_GB2312" w:eastAsia="仿宋_GB2312"/>
          <w:sz w:val="32"/>
          <w:szCs w:val="32"/>
        </w:rPr>
        <w:t>，并于</w:t>
      </w:r>
      <w:r>
        <w:rPr>
          <w:rFonts w:hint="eastAsia" w:ascii="仿宋_GB2312" w:eastAsia="仿宋_GB2312"/>
          <w:sz w:val="32"/>
          <w:szCs w:val="32"/>
          <w:lang w:val="en-US" w:eastAsia="zh-CN"/>
        </w:rPr>
        <w:t>开标</w:t>
      </w:r>
      <w:r>
        <w:rPr>
          <w:rFonts w:hint="eastAsia" w:ascii="仿宋_GB2312" w:eastAsia="仿宋_GB2312"/>
          <w:sz w:val="32"/>
          <w:szCs w:val="32"/>
        </w:rPr>
        <w:t>开始时上交招标采购办工作人员。供应商须同时准备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b/>
          <w:bCs/>
          <w:sz w:val="44"/>
          <w:szCs w:val="44"/>
          <w:lang w:val="en-US" w:eastAsia="zh-CN"/>
        </w:rPr>
        <w:t>2026年5月26日10:30至16:00（即开标后）</w:t>
      </w:r>
      <w:r>
        <w:rPr>
          <w:rFonts w:hint="eastAsia" w:ascii="仿宋_GB2312" w:eastAsia="仿宋_GB2312"/>
          <w:sz w:val="32"/>
          <w:szCs w:val="32"/>
          <w:lang w:val="en-US" w:eastAsia="zh-CN"/>
        </w:rPr>
        <w:t>发送至zbcgb02@szftzy.cn</w:t>
      </w:r>
      <w:r>
        <w:rPr>
          <w:rFonts w:hint="eastAsia" w:ascii="仿宋_GB2312" w:eastAsia="仿宋_GB2312"/>
          <w:b/>
          <w:bCs/>
          <w:color w:val="FF0000"/>
          <w:sz w:val="32"/>
          <w:szCs w:val="32"/>
          <w:lang w:val="en-US" w:eastAsia="zh-CN"/>
        </w:rPr>
        <w:t>（未在规定时间内发送的响应文件将视为无效响应）</w:t>
      </w:r>
      <w:r>
        <w:rPr>
          <w:rFonts w:hint="eastAsia" w:ascii="仿宋_GB2312" w:eastAsia="仿宋_GB2312"/>
          <w:sz w:val="32"/>
          <w:szCs w:val="32"/>
          <w:lang w:val="en-US" w:eastAsia="zh-CN"/>
        </w:rPr>
        <w:t>。</w:t>
      </w:r>
    </w:p>
    <w:p w14:paraId="0EC5C240">
      <w:pPr>
        <w:pStyle w:val="13"/>
        <w:spacing w:before="156" w:beforeLines="50" w:after="156" w:afterLines="50" w:line="240" w:lineRule="auto"/>
        <w:outlineLvl w:val="0"/>
        <w:rPr>
          <w:rFonts w:ascii="方正小标宋_GBK" w:eastAsia="方正小标宋_GBK"/>
          <w:b w:val="0"/>
          <w:sz w:val="44"/>
          <w:szCs w:val="44"/>
        </w:rPr>
      </w:pPr>
    </w:p>
    <w:p w14:paraId="53B9D210">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1ABC8E3A">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4EA8F573">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广州中医药大学深圳医院（福田）服务类采购响应文件</w:t>
      </w:r>
    </w:p>
    <w:p w14:paraId="42DD2753">
      <w:pPr>
        <w:rPr>
          <w:rFonts w:hint="eastAsia" w:ascii="黑体" w:hAnsi="黑体" w:eastAsia="黑体"/>
          <w:sz w:val="36"/>
          <w:szCs w:val="36"/>
        </w:rPr>
      </w:pPr>
    </w:p>
    <w:p w14:paraId="393A803B">
      <w:pPr>
        <w:rPr>
          <w:rFonts w:hint="eastAsia" w:ascii="黑体" w:hAnsi="黑体" w:eastAsia="黑体"/>
          <w:sz w:val="36"/>
          <w:szCs w:val="36"/>
        </w:rPr>
      </w:pPr>
    </w:p>
    <w:p w14:paraId="1456328D">
      <w:pPr>
        <w:rPr>
          <w:rFonts w:hint="eastAsia" w:ascii="黑体" w:hAnsi="黑体" w:eastAsia="黑体"/>
          <w:sz w:val="36"/>
          <w:szCs w:val="36"/>
        </w:rPr>
      </w:pPr>
    </w:p>
    <w:p w14:paraId="49DDF9E7">
      <w:pPr>
        <w:rPr>
          <w:rFonts w:hint="eastAsia" w:ascii="黑体" w:hAnsi="黑体" w:eastAsia="黑体"/>
          <w:sz w:val="36"/>
          <w:szCs w:val="36"/>
        </w:rPr>
      </w:pPr>
    </w:p>
    <w:p w14:paraId="32A6865C">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5A5AA935">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委托代理人/法人：</w:t>
      </w:r>
    </w:p>
    <w:p w14:paraId="63C8F2F9">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联系方式：</w:t>
      </w:r>
      <w:r>
        <w:rPr>
          <w:rFonts w:ascii="黑体" w:hAnsi="黑体" w:eastAsia="黑体"/>
          <w:sz w:val="36"/>
          <w:szCs w:val="36"/>
        </w:rPr>
        <w:t xml:space="preserve"> </w:t>
      </w:r>
    </w:p>
    <w:p w14:paraId="2F1E356A">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实验动物许可证代理申报服务（二次）</w:t>
      </w:r>
    </w:p>
    <w:p w14:paraId="34F4001F">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GZSY-ZB-FW-2026041</w:t>
      </w:r>
    </w:p>
    <w:p w14:paraId="0FB56C39">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val="en-US" w:eastAsia="zh-CN"/>
        </w:rPr>
        <w:t>项目预算</w:t>
      </w:r>
      <w:r>
        <w:rPr>
          <w:rFonts w:hint="eastAsia" w:ascii="黑体" w:hAnsi="黑体" w:eastAsia="黑体"/>
          <w:sz w:val="36"/>
          <w:szCs w:val="36"/>
        </w:rPr>
        <w:t>：</w:t>
      </w:r>
      <w:r>
        <w:rPr>
          <w:rFonts w:hint="eastAsia" w:ascii="黑体" w:hAnsi="黑体" w:eastAsia="黑体"/>
          <w:sz w:val="36"/>
          <w:szCs w:val="36"/>
          <w:lang w:eastAsia="zh-CN"/>
        </w:rPr>
        <w:t>¥</w:t>
      </w:r>
      <w:r>
        <w:rPr>
          <w:rFonts w:hint="eastAsia" w:ascii="黑体" w:hAnsi="黑体" w:eastAsia="黑体"/>
          <w:sz w:val="36"/>
          <w:szCs w:val="36"/>
          <w:lang w:val="en-US" w:eastAsia="zh-CN"/>
        </w:rPr>
        <w:t>65000.00元</w:t>
      </w:r>
    </w:p>
    <w:p w14:paraId="3E057AB5">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开标</w:t>
      </w:r>
      <w:r>
        <w:rPr>
          <w:rFonts w:hint="eastAsia" w:ascii="黑体" w:hAnsi="黑体" w:eastAsia="黑体"/>
          <w:sz w:val="36"/>
          <w:szCs w:val="36"/>
        </w:rPr>
        <w:t>日期：202</w:t>
      </w:r>
      <w:r>
        <w:rPr>
          <w:rFonts w:hint="eastAsia" w:ascii="黑体" w:hAnsi="黑体" w:eastAsia="黑体"/>
          <w:sz w:val="36"/>
          <w:szCs w:val="36"/>
          <w:lang w:val="en-US" w:eastAsia="zh-CN"/>
        </w:rPr>
        <w:t>6</w:t>
      </w:r>
      <w:r>
        <w:rPr>
          <w:rFonts w:hint="eastAsia" w:ascii="黑体" w:hAnsi="黑体" w:eastAsia="黑体"/>
          <w:sz w:val="36"/>
          <w:szCs w:val="36"/>
        </w:rPr>
        <w:t>年</w:t>
      </w:r>
      <w:r>
        <w:rPr>
          <w:rFonts w:hint="eastAsia" w:ascii="黑体" w:hAnsi="黑体" w:eastAsia="黑体"/>
          <w:sz w:val="36"/>
          <w:szCs w:val="36"/>
          <w:lang w:val="en-US" w:eastAsia="zh-CN"/>
        </w:rPr>
        <w:t>5月26日</w:t>
      </w:r>
    </w:p>
    <w:p w14:paraId="73414DD7">
      <w:pPr>
        <w:rPr>
          <w:rFonts w:hint="eastAsia" w:ascii="黑体" w:hAnsi="黑体" w:eastAsia="黑体"/>
          <w:sz w:val="36"/>
          <w:szCs w:val="36"/>
        </w:rPr>
      </w:pPr>
    </w:p>
    <w:p w14:paraId="01D04D4D">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黑体" w:hAnsi="黑体" w:eastAsia="黑体"/>
          <w:bCs/>
          <w:color w:val="000000" w:themeColor="text1"/>
          <w:sz w:val="28"/>
          <w:szCs w:val="28"/>
          <w14:textFill>
            <w14:solidFill>
              <w14:schemeClr w14:val="tx1"/>
            </w14:solidFill>
          </w14:textFill>
        </w:rPr>
        <w:t>一、</w:t>
      </w:r>
      <w:r>
        <w:rPr>
          <w:rFonts w:hint="eastAsia" w:ascii="Times New Roman" w:hAnsi="Times New Roman"/>
          <w:b/>
          <w:snapToGrid w:val="0"/>
          <w:kern w:val="0"/>
          <w:sz w:val="28"/>
          <w:lang w:val="en-US" w:eastAsia="zh-CN"/>
        </w:rPr>
        <w:t>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398840F8">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539087F0">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6ABBDBA6">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color w:val="000000" w:themeColor="text1"/>
          <w:sz w:val="28"/>
          <w:szCs w:val="28"/>
          <w14:textFill>
            <w14:solidFill>
              <w14:schemeClr w14:val="tx1"/>
            </w14:solidFill>
          </w14:textFill>
        </w:rPr>
        <w:t>项目编号：</w:t>
      </w:r>
      <w:r>
        <w:rPr>
          <w:rFonts w:hint="eastAsia"/>
          <w:b/>
          <w:bCs/>
          <w:color w:val="000000" w:themeColor="text1"/>
          <w:sz w:val="28"/>
          <w:szCs w:val="28"/>
          <w:lang w:eastAsia="zh-CN"/>
          <w14:textFill>
            <w14:solidFill>
              <w14:schemeClr w14:val="tx1"/>
            </w14:solidFill>
          </w14:textFill>
        </w:rPr>
        <w:t>GZSY-ZB-FW-2026041</w:t>
      </w:r>
    </w:p>
    <w:p w14:paraId="43E66ADD">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b/>
          <w:bCs/>
          <w:color w:val="000000" w:themeColor="text1"/>
          <w:sz w:val="28"/>
          <w:szCs w:val="28"/>
          <w:lang w:eastAsia="zh-CN"/>
          <w14:textFill>
            <w14:solidFill>
              <w14:schemeClr w14:val="tx1"/>
            </w14:solidFill>
          </w14:textFill>
        </w:rPr>
        <w:t>实验动物许可证代理申报服务（二次）</w:t>
      </w:r>
    </w:p>
    <w:tbl>
      <w:tblPr>
        <w:tblStyle w:val="16"/>
        <w:tblW w:w="9739" w:type="dxa"/>
        <w:jc w:val="center"/>
        <w:tblLayout w:type="fixed"/>
        <w:tblCellMar>
          <w:top w:w="0" w:type="dxa"/>
          <w:left w:w="108" w:type="dxa"/>
          <w:bottom w:w="0" w:type="dxa"/>
          <w:right w:w="108" w:type="dxa"/>
        </w:tblCellMar>
      </w:tblPr>
      <w:tblGrid>
        <w:gridCol w:w="2761"/>
        <w:gridCol w:w="2410"/>
        <w:gridCol w:w="2410"/>
        <w:gridCol w:w="2158"/>
      </w:tblGrid>
      <w:tr w14:paraId="79A51B3A">
        <w:trPr>
          <w:trHeight w:val="375" w:hRule="atLeast"/>
          <w:jc w:val="center"/>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14:paraId="37E8B621">
            <w:pPr>
              <w:jc w:val="center"/>
              <w:rPr>
                <w:rFonts w:cs="宋体"/>
                <w:b/>
                <w:bCs/>
              </w:rPr>
            </w:pPr>
            <w:r>
              <w:rPr>
                <w:rFonts w:hint="eastAsia" w:cs="宋体"/>
                <w:b/>
                <w:bCs/>
              </w:rPr>
              <w:t>报价项目</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05146CA">
            <w:pPr>
              <w:jc w:val="center"/>
              <w:rPr>
                <w:rFonts w:hint="default" w:eastAsia="宋体" w:cs="宋体"/>
                <w:b/>
                <w:bCs/>
                <w:lang w:val="en-US" w:eastAsia="zh-CN"/>
              </w:rPr>
            </w:pPr>
            <w:r>
              <w:rPr>
                <w:rFonts w:hint="eastAsia" w:cs="宋体"/>
                <w:b/>
                <w:bCs/>
                <w:lang w:val="en-US" w:eastAsia="zh-CN"/>
              </w:rPr>
              <w:t>项目预算（元）</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1984A2D">
            <w:pPr>
              <w:jc w:val="center"/>
              <w:rPr>
                <w:rFonts w:cs="宋体"/>
                <w:b/>
                <w:bCs/>
              </w:rPr>
            </w:pPr>
            <w:r>
              <w:rPr>
                <w:rFonts w:hint="eastAsia" w:cs="宋体"/>
                <w:b/>
                <w:bCs/>
                <w:lang w:val="en-US" w:eastAsia="zh-CN"/>
              </w:rPr>
              <w:t>最高限价</w:t>
            </w:r>
            <w:r>
              <w:rPr>
                <w:rFonts w:hint="eastAsia" w:cs="宋体"/>
                <w:b/>
                <w:bCs/>
              </w:rPr>
              <w:t>（</w:t>
            </w:r>
            <w:r>
              <w:rPr>
                <w:rFonts w:hint="eastAsia" w:cs="宋体"/>
                <w:b/>
                <w:bCs/>
                <w:lang w:eastAsia="zh-CN"/>
              </w:rPr>
              <w:t>元</w:t>
            </w:r>
            <w:r>
              <w:rPr>
                <w:rFonts w:hint="eastAsia" w:cs="宋体"/>
                <w:b/>
                <w:bCs/>
              </w:rPr>
              <w:t>）</w:t>
            </w:r>
            <w:r>
              <w:rPr>
                <w:rFonts w:cs="宋体"/>
                <w:b/>
                <w:bCs/>
              </w:rPr>
              <w:t xml:space="preserve"> </w:t>
            </w:r>
          </w:p>
        </w:tc>
        <w:tc>
          <w:tcPr>
            <w:tcW w:w="2158" w:type="dxa"/>
            <w:tcBorders>
              <w:top w:val="single" w:color="auto" w:sz="4" w:space="0"/>
              <w:left w:val="single" w:color="auto" w:sz="4" w:space="0"/>
              <w:bottom w:val="single" w:color="auto" w:sz="4" w:space="0"/>
              <w:right w:val="single" w:color="auto" w:sz="4" w:space="0"/>
            </w:tcBorders>
            <w:vAlign w:val="center"/>
          </w:tcPr>
          <w:p w14:paraId="495915C6">
            <w:pPr>
              <w:jc w:val="center"/>
              <w:rPr>
                <w:rFonts w:cs="宋体"/>
                <w:b/>
                <w:bCs/>
              </w:rPr>
            </w:pPr>
            <w:r>
              <w:rPr>
                <w:rFonts w:hint="eastAsia" w:cs="宋体"/>
                <w:b/>
                <w:bCs/>
              </w:rPr>
              <w:t>报</w:t>
            </w:r>
            <w:r>
              <w:rPr>
                <w:rFonts w:cs="宋体"/>
                <w:b/>
                <w:bCs/>
              </w:rPr>
              <w:t>价</w:t>
            </w:r>
            <w:r>
              <w:rPr>
                <w:rFonts w:hint="eastAsia" w:cs="宋体"/>
                <w:b/>
                <w:bCs/>
              </w:rPr>
              <w:t>（</w:t>
            </w:r>
            <w:r>
              <w:rPr>
                <w:rFonts w:hint="eastAsia" w:cs="宋体"/>
                <w:b/>
                <w:bCs/>
                <w:lang w:eastAsia="zh-CN"/>
              </w:rPr>
              <w:t>元</w:t>
            </w:r>
            <w:r>
              <w:rPr>
                <w:rFonts w:hint="eastAsia" w:cs="宋体"/>
                <w:b/>
                <w:bCs/>
              </w:rPr>
              <w:t>）</w:t>
            </w:r>
          </w:p>
        </w:tc>
      </w:tr>
      <w:tr w14:paraId="1920A9B5">
        <w:tblPrEx>
          <w:tblCellMar>
            <w:top w:w="0" w:type="dxa"/>
            <w:left w:w="108" w:type="dxa"/>
            <w:bottom w:w="0" w:type="dxa"/>
            <w:right w:w="108" w:type="dxa"/>
          </w:tblCellMar>
        </w:tblPrEx>
        <w:trPr>
          <w:trHeight w:val="533" w:hRule="atLeast"/>
          <w:jc w:val="center"/>
        </w:trPr>
        <w:tc>
          <w:tcPr>
            <w:tcW w:w="2761" w:type="dxa"/>
            <w:tcBorders>
              <w:top w:val="nil"/>
              <w:left w:val="single" w:color="auto" w:sz="4" w:space="0"/>
              <w:bottom w:val="single" w:color="auto" w:sz="4" w:space="0"/>
              <w:right w:val="single" w:color="auto" w:sz="4" w:space="0"/>
            </w:tcBorders>
            <w:shd w:val="clear" w:color="auto" w:fill="auto"/>
            <w:vAlign w:val="center"/>
          </w:tcPr>
          <w:p w14:paraId="4E127927">
            <w:pPr>
              <w:widowControl/>
              <w:spacing w:line="300" w:lineRule="exact"/>
              <w:jc w:val="center"/>
              <w:rPr>
                <w:rFonts w:hint="eastAsia" w:eastAsia="宋体" w:cs="宋体"/>
                <w:sz w:val="22"/>
                <w:szCs w:val="22"/>
                <w:lang w:eastAsia="zh-CN"/>
              </w:rPr>
            </w:pPr>
            <w:r>
              <w:rPr>
                <w:rFonts w:hint="eastAsia" w:cs="宋体"/>
                <w:sz w:val="22"/>
                <w:szCs w:val="22"/>
                <w:lang w:eastAsia="zh-CN"/>
              </w:rPr>
              <w:t>实验动物许可证代理申报服务（二次）</w:t>
            </w:r>
          </w:p>
        </w:tc>
        <w:tc>
          <w:tcPr>
            <w:tcW w:w="2410" w:type="dxa"/>
            <w:tcBorders>
              <w:top w:val="nil"/>
              <w:left w:val="single" w:color="auto" w:sz="4" w:space="0"/>
              <w:bottom w:val="single" w:color="auto" w:sz="4" w:space="0"/>
              <w:right w:val="single" w:color="auto" w:sz="4" w:space="0"/>
            </w:tcBorders>
            <w:shd w:val="clear" w:color="auto" w:fill="auto"/>
            <w:vAlign w:val="center"/>
          </w:tcPr>
          <w:p w14:paraId="25F404E9">
            <w:pPr>
              <w:widowControl/>
              <w:spacing w:line="300" w:lineRule="exact"/>
              <w:jc w:val="center"/>
              <w:rPr>
                <w:rFonts w:hint="eastAsia" w:eastAsia="宋体" w:cs="宋体"/>
                <w:sz w:val="22"/>
                <w:szCs w:val="22"/>
                <w:lang w:eastAsia="zh-CN"/>
              </w:rPr>
            </w:pPr>
            <w:r>
              <w:rPr>
                <w:rFonts w:hint="eastAsia" w:cs="宋体"/>
                <w:sz w:val="22"/>
                <w:szCs w:val="22"/>
              </w:rPr>
              <w:t>¥</w:t>
            </w:r>
            <w:r>
              <w:rPr>
                <w:rFonts w:hint="eastAsia" w:cs="宋体"/>
                <w:sz w:val="22"/>
                <w:szCs w:val="22"/>
                <w:lang w:val="en-US" w:eastAsia="zh-CN"/>
              </w:rPr>
              <w:t>65000.00</w:t>
            </w:r>
          </w:p>
        </w:tc>
        <w:tc>
          <w:tcPr>
            <w:tcW w:w="2410" w:type="dxa"/>
            <w:tcBorders>
              <w:top w:val="nil"/>
              <w:left w:val="single" w:color="auto" w:sz="4" w:space="0"/>
              <w:bottom w:val="single" w:color="auto" w:sz="4" w:space="0"/>
              <w:right w:val="single" w:color="auto" w:sz="4" w:space="0"/>
            </w:tcBorders>
            <w:shd w:val="clear" w:color="auto" w:fill="auto"/>
            <w:vAlign w:val="center"/>
          </w:tcPr>
          <w:p w14:paraId="35BEBB63">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61000.00</w:t>
            </w:r>
          </w:p>
        </w:tc>
        <w:tc>
          <w:tcPr>
            <w:tcW w:w="2158" w:type="dxa"/>
            <w:tcBorders>
              <w:top w:val="nil"/>
              <w:left w:val="single" w:color="auto" w:sz="4" w:space="0"/>
              <w:bottom w:val="single" w:color="auto" w:sz="4" w:space="0"/>
              <w:right w:val="single" w:color="auto" w:sz="4" w:space="0"/>
            </w:tcBorders>
            <w:vAlign w:val="center"/>
          </w:tcPr>
          <w:p w14:paraId="7127A638">
            <w:pPr>
              <w:widowControl/>
              <w:spacing w:line="300" w:lineRule="exact"/>
              <w:jc w:val="center"/>
              <w:rPr>
                <w:rFonts w:cs="宋体"/>
                <w:sz w:val="22"/>
                <w:szCs w:val="22"/>
              </w:rPr>
            </w:pPr>
            <w:r>
              <w:rPr>
                <w:rFonts w:hint="eastAsia" w:cs="宋体"/>
                <w:sz w:val="22"/>
                <w:szCs w:val="22"/>
              </w:rPr>
              <w:t>¥</w:t>
            </w:r>
          </w:p>
        </w:tc>
      </w:tr>
    </w:tbl>
    <w:p w14:paraId="266E50B5">
      <w:pPr>
        <w:tabs>
          <w:tab w:val="left" w:pos="312"/>
        </w:tabs>
        <w:spacing w:after="60" w:line="560" w:lineRule="exact"/>
        <w:jc w:val="left"/>
        <w:rPr>
          <w:b/>
          <w:bCs/>
          <w:color w:val="000000" w:themeColor="text1"/>
          <w:sz w:val="28"/>
          <w:szCs w:val="28"/>
          <w14:textFill>
            <w14:solidFill>
              <w14:schemeClr w14:val="tx1"/>
            </w14:solidFill>
          </w14:textFill>
        </w:rPr>
      </w:pPr>
    </w:p>
    <w:p w14:paraId="711AE866">
      <w:pPr>
        <w:numPr>
          <w:ilvl w:val="0"/>
          <w:numId w:val="4"/>
        </w:numPr>
        <w:tabs>
          <w:tab w:val="left" w:pos="312"/>
        </w:tabs>
        <w:spacing w:after="60" w:line="560" w:lineRule="exact"/>
        <w:jc w:val="left"/>
        <w:rPr>
          <w:b/>
          <w:bCs/>
          <w:color w:val="FF0000"/>
        </w:rPr>
      </w:pPr>
      <w:r>
        <w:rPr>
          <w:rFonts w:hint="eastAsia"/>
          <w:color w:val="FF0000"/>
        </w:rPr>
        <w:t>本项目采用</w:t>
      </w:r>
      <w:r>
        <w:rPr>
          <w:rFonts w:hint="eastAsia"/>
          <w:color w:val="FF0000"/>
          <w:lang w:eastAsia="zh-CN"/>
        </w:rPr>
        <w:t>最低价法</w:t>
      </w:r>
      <w:r>
        <w:rPr>
          <w:rFonts w:hint="eastAsia"/>
          <w:color w:val="FF0000"/>
        </w:rPr>
        <w:t>方式确定供应商。</w:t>
      </w:r>
      <w:r>
        <w:rPr>
          <w:rFonts w:hint="eastAsia"/>
          <w:b/>
          <w:bCs/>
          <w:color w:val="FF0000"/>
        </w:rPr>
        <w:t>请另附报价明细表</w:t>
      </w:r>
    </w:p>
    <w:p w14:paraId="3052772F">
      <w:pPr>
        <w:tabs>
          <w:tab w:val="left" w:pos="312"/>
        </w:tabs>
        <w:spacing w:after="60" w:line="560" w:lineRule="exact"/>
        <w:jc w:val="left"/>
      </w:pPr>
      <w:r>
        <w:rPr>
          <w:rFonts w:hint="eastAsia"/>
        </w:rPr>
        <w:t>（2）本项目的响应价格不能超过</w:t>
      </w:r>
      <w:r>
        <w:rPr>
          <w:rFonts w:hint="eastAsia"/>
          <w:lang w:val="en-US" w:eastAsia="zh-CN"/>
        </w:rPr>
        <w:t>限价</w:t>
      </w:r>
      <w:r>
        <w:rPr>
          <w:rFonts w:hint="eastAsia"/>
        </w:rPr>
        <w:t>，否则，响应无效。</w:t>
      </w:r>
    </w:p>
    <w:p w14:paraId="66B30FBA">
      <w:pPr>
        <w:rPr>
          <w:rFonts w:hint="eastAsia"/>
        </w:rPr>
      </w:pPr>
      <w:r>
        <w:rPr>
          <w:rFonts w:hint="eastAsia"/>
        </w:rPr>
        <w:t>（3）本项目响应按总价报价，项目费用采用包干制，包括但不限于项目成本、法定税费和企业利润等一切费用。</w:t>
      </w:r>
    </w:p>
    <w:p w14:paraId="20AC178D">
      <w:pPr>
        <w:rPr>
          <w:rFonts w:hint="default" w:eastAsia="宋体"/>
          <w:lang w:val="en-US" w:eastAsia="zh-CN"/>
        </w:rPr>
      </w:pPr>
      <w:r>
        <w:rPr>
          <w:rFonts w:hint="eastAsia"/>
          <w:lang w:eastAsia="zh-CN"/>
        </w:rPr>
        <w:t>（</w:t>
      </w:r>
      <w:r>
        <w:rPr>
          <w:rFonts w:hint="eastAsia"/>
          <w:lang w:val="en-US" w:eastAsia="zh-CN"/>
        </w:rPr>
        <w:t>4）若有供应商报价一致且皆为最低价格，将采取现场抽签方式确定成交供应商</w:t>
      </w:r>
    </w:p>
    <w:p w14:paraId="7E6F419C"/>
    <w:p w14:paraId="0D350538">
      <w:pPr>
        <w:ind w:firstLine="420" w:firstLineChars="200"/>
      </w:pPr>
      <w:r>
        <w:rPr>
          <w:rFonts w:hint="eastAsia"/>
        </w:rPr>
        <w:t>注：</w:t>
      </w:r>
      <w:r>
        <w:rPr>
          <w:rFonts w:hint="eastAsia"/>
          <w:lang w:val="en-US" w:eastAsia="zh-CN"/>
        </w:rPr>
        <w:t>响应文件内报价为最终报价</w:t>
      </w:r>
      <w:r>
        <w:rPr>
          <w:rFonts w:hint="eastAsia"/>
        </w:rPr>
        <w:t>。</w:t>
      </w:r>
    </w:p>
    <w:p w14:paraId="4615FF73">
      <w:pPr>
        <w:ind w:right="2100" w:rightChars="1000"/>
        <w:jc w:val="right"/>
        <w:rPr>
          <w:snapToGrid w:val="0"/>
          <w:kern w:val="0"/>
        </w:rPr>
      </w:pPr>
    </w:p>
    <w:p w14:paraId="54F5AAE7">
      <w:pPr>
        <w:ind w:right="2100" w:rightChars="1000"/>
        <w:jc w:val="right"/>
        <w:rPr>
          <w:snapToGrid w:val="0"/>
          <w:kern w:val="0"/>
        </w:rPr>
      </w:pPr>
      <w:r>
        <w:rPr>
          <w:snapToGrid w:val="0"/>
          <w:kern w:val="0"/>
        </w:rPr>
        <w:t>法定代表人或被授权人签名：</w:t>
      </w:r>
    </w:p>
    <w:p w14:paraId="6FAA4EBC">
      <w:pPr>
        <w:ind w:right="2100" w:rightChars="1000"/>
        <w:jc w:val="right"/>
        <w:rPr>
          <w:snapToGrid w:val="0"/>
          <w:kern w:val="0"/>
        </w:rPr>
      </w:pPr>
    </w:p>
    <w:p w14:paraId="739B74EF">
      <w:pPr>
        <w:ind w:right="2100" w:rightChars="1000"/>
        <w:jc w:val="right"/>
        <w:rPr>
          <w:snapToGrid w:val="0"/>
          <w:kern w:val="0"/>
        </w:rPr>
      </w:pPr>
      <w:r>
        <w:rPr>
          <w:snapToGrid w:val="0"/>
          <w:kern w:val="0"/>
        </w:rPr>
        <w:t>响应单位公章：</w:t>
      </w:r>
    </w:p>
    <w:p w14:paraId="281D24DE">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sz w:val="24"/>
        </w:rPr>
      </w:pPr>
      <w:r>
        <w:rPr>
          <w:sz w:val="24"/>
        </w:rPr>
        <w:t xml:space="preserve"> </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5"/>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1135E789">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1777139">
      <w:pPr>
        <w:numPr>
          <w:ilvl w:val="0"/>
          <w:numId w:val="6"/>
        </w:numPr>
        <w:rPr>
          <w:rFonts w:hint="eastAsia" w:ascii="黑体" w:hAnsi="黑体" w:eastAsia="黑体"/>
          <w:sz w:val="32"/>
          <w:szCs w:val="32"/>
          <w:lang w:val="en-US" w:eastAsia="zh-CN"/>
        </w:rPr>
      </w:pPr>
      <w:r>
        <w:rPr>
          <w:rFonts w:hint="eastAsia" w:cs="宋体"/>
          <w:lang w:val="en-US" w:eastAsia="zh-CN" w:bidi="ar"/>
          <w14:ligatures w14:val="none"/>
        </w:rPr>
        <w:t>营业执照</w:t>
      </w:r>
    </w:p>
    <w:p w14:paraId="52B22A33">
      <w:pPr>
        <w:numPr>
          <w:ilvl w:val="0"/>
          <w:numId w:val="6"/>
        </w:numPr>
        <w:rPr>
          <w:rFonts w:hint="eastAsia" w:ascii="黑体" w:hAnsi="黑体" w:eastAsia="黑体"/>
          <w:sz w:val="32"/>
          <w:szCs w:val="32"/>
          <w:lang w:val="en-US" w:eastAsia="zh-CN"/>
        </w:rPr>
      </w:pPr>
      <w:r>
        <w:rPr>
          <w:rFonts w:hint="eastAsia" w:cs="宋体"/>
          <w:lang w:val="en-US" w:eastAsia="zh-CN" w:bidi="ar"/>
          <w14:ligatures w14:val="none"/>
        </w:rPr>
        <w:t>有效业绩证明</w:t>
      </w:r>
    </w:p>
    <w:p w14:paraId="3B679B8E">
      <w:pPr>
        <w:ind w:firstLine="2496" w:firstLineChars="800"/>
        <w:rPr>
          <w:rFonts w:hint="eastAsia" w:ascii="黑体" w:hAnsi="黑体" w:eastAsia="黑体"/>
          <w:sz w:val="32"/>
          <w:szCs w:val="32"/>
          <w:lang w:val="en-US" w:eastAsia="zh-CN"/>
        </w:rPr>
        <w:sectPr>
          <w:headerReference r:id="rId5" w:type="default"/>
          <w:pgSz w:w="11906" w:h="16838"/>
          <w:pgMar w:top="2098" w:right="1418" w:bottom="1985" w:left="1418" w:header="851" w:footer="851" w:gutter="0"/>
          <w:cols w:space="720" w:num="1"/>
          <w:docGrid w:type="linesAndChars" w:linePitch="573" w:charSpace="-1843"/>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5EAC5FE3">
      <w:pPr>
        <w:pStyle w:val="3"/>
        <w:sectPr>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商务</w:t>
            </w:r>
            <w:r>
              <w:rPr>
                <w:rFonts w:hint="eastAsia"/>
                <w:kern w:val="0"/>
                <w14:ligatures w14:val="none"/>
              </w:rPr>
              <w:t>要求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6"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6"/>
    </w:p>
    <w:p w14:paraId="2B61B58A">
      <w:pPr>
        <w:spacing w:line="300" w:lineRule="exact"/>
      </w:pPr>
    </w:p>
    <w:p w14:paraId="0D241799">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sz w:val="32"/>
          <w:szCs w:val="32"/>
          <w:lang w:val="en-US" w:eastAsia="zh-CN"/>
        </w:rPr>
        <w:t>、</w:t>
      </w:r>
      <w:r>
        <w:rPr>
          <w:rFonts w:hint="eastAsia" w:ascii="黑体" w:hAnsi="黑体" w:eastAsia="黑体"/>
          <w:sz w:val="32"/>
          <w:szCs w:val="32"/>
        </w:rPr>
        <w:t>其它相关证明文件（如有</w:t>
      </w:r>
      <w:r>
        <w:rPr>
          <w:rFonts w:hint="eastAsia" w:ascii="黑体" w:hAnsi="黑体" w:eastAsia="黑体"/>
          <w:sz w:val="32"/>
          <w:szCs w:val="32"/>
          <w:lang w:eastAsia="zh-CN"/>
        </w:rPr>
        <w:t>）</w:t>
      </w:r>
    </w:p>
    <w:p w14:paraId="050CB09F">
      <w:pPr>
        <w:pStyle w:val="13"/>
        <w:spacing w:before="286" w:beforeLines="50" w:after="286" w:afterLines="50" w:line="240" w:lineRule="auto"/>
        <w:jc w:val="center"/>
        <w:outlineLvl w:val="0"/>
        <w:rPr>
          <w:rFonts w:ascii="方正小标宋_GBK" w:eastAsia="方正小标宋_GBK"/>
          <w:b w:val="0"/>
          <w:sz w:val="44"/>
          <w:szCs w:val="44"/>
        </w:rPr>
      </w:pPr>
      <w:bookmarkStart w:id="17" w:name="_Toc689"/>
      <w:r>
        <w:rPr>
          <w:rFonts w:hint="eastAsia" w:ascii="方正小标宋_GBK" w:eastAsia="方正小标宋_GBK"/>
          <w:b w:val="0"/>
          <w:sz w:val="44"/>
          <w:szCs w:val="44"/>
        </w:rPr>
        <w:t>第四章  合同模板</w:t>
      </w:r>
      <w:bookmarkEnd w:id="17"/>
    </w:p>
    <w:p w14:paraId="52E088B2">
      <w:pPr>
        <w:spacing w:before="286" w:beforeLines="50" w:after="28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0AE8F2B4">
      <w:pPr>
        <w:spacing w:before="286" w:beforeLines="50" w:after="286" w:afterLines="50" w:line="560" w:lineRule="exact"/>
        <w:rPr>
          <w:rFonts w:hint="eastAsia" w:ascii="宋体" w:hAnsi="宋体" w:cs="宋体"/>
          <w:b/>
          <w:sz w:val="44"/>
          <w:szCs w:val="44"/>
        </w:rPr>
      </w:pPr>
    </w:p>
    <w:p w14:paraId="25B3954B">
      <w:pPr>
        <w:spacing w:line="360" w:lineRule="auto"/>
        <w:ind w:firstLine="624" w:firstLineChars="200"/>
        <w:rPr>
          <w:rFonts w:hint="eastAsia" w:ascii="仿宋" w:hAnsi="仿宋" w:eastAsia="仿宋"/>
          <w:sz w:val="32"/>
          <w:szCs w:val="32"/>
        </w:rPr>
      </w:pPr>
      <w:r>
        <w:rPr>
          <w:rFonts w:hint="eastAsia" w:ascii="仿宋" w:hAnsi="仿宋" w:eastAsia="仿宋"/>
          <w:sz w:val="32"/>
          <w:szCs w:val="32"/>
        </w:rPr>
        <w:t>1、本合同模板主要适用于一般购买社会服务，业务部门在使用模板时应根据不同的采购要求自行填写服务内容和服务要求、适当增加双方权利义务条款。</w:t>
      </w:r>
    </w:p>
    <w:p w14:paraId="75733708">
      <w:pPr>
        <w:spacing w:line="360" w:lineRule="auto"/>
        <w:ind w:firstLine="480"/>
        <w:rPr>
          <w:rFonts w:hint="eastAsia" w:ascii="仿宋" w:hAnsi="仿宋" w:eastAsia="仿宋"/>
          <w:bCs/>
          <w:sz w:val="32"/>
          <w:szCs w:val="32"/>
        </w:rPr>
      </w:pPr>
      <w:r>
        <w:rPr>
          <w:rFonts w:hint="eastAsia" w:ascii="仿宋" w:hAnsi="仿宋" w:eastAsia="仿宋"/>
          <w:sz w:val="32"/>
          <w:szCs w:val="32"/>
        </w:rPr>
        <w:t>2、模板中</w:t>
      </w:r>
      <w:r>
        <w:rPr>
          <w:rFonts w:hint="eastAsia" w:ascii="仿宋" w:hAnsi="仿宋" w:eastAsia="仿宋"/>
          <w:bCs/>
          <w:sz w:val="32"/>
          <w:szCs w:val="32"/>
        </w:rPr>
        <w:t>黑色字体部分均为模板标准内容，一般不作删除或修改。</w:t>
      </w:r>
    </w:p>
    <w:p w14:paraId="60133779">
      <w:pPr>
        <w:spacing w:line="360" w:lineRule="auto"/>
        <w:ind w:firstLine="480"/>
        <w:rPr>
          <w:rFonts w:hint="eastAsia" w:ascii="仿宋" w:hAnsi="仿宋" w:eastAsia="仿宋"/>
          <w:bCs/>
          <w:sz w:val="32"/>
          <w:szCs w:val="32"/>
        </w:rPr>
      </w:pPr>
      <w:r>
        <w:rPr>
          <w:rFonts w:hint="eastAsia" w:ascii="仿宋" w:hAnsi="仿宋" w:eastAsia="仿宋"/>
          <w:bCs/>
          <w:sz w:val="32"/>
          <w:szCs w:val="32"/>
        </w:rPr>
        <w:t>3、含“</w:t>
      </w:r>
      <w:r>
        <w:rPr>
          <w:rFonts w:hint="eastAsia" w:ascii="仿宋" w:hAnsi="仿宋" w:eastAsia="仿宋"/>
          <w:bCs/>
          <w:sz w:val="32"/>
          <w:szCs w:val="32"/>
          <w:u w:val="single"/>
        </w:rPr>
        <w:t xml:space="preserve">     </w:t>
      </w:r>
      <w:r>
        <w:rPr>
          <w:rFonts w:hint="eastAsia" w:ascii="仿宋" w:hAnsi="仿宋" w:eastAsia="仿宋"/>
          <w:bCs/>
          <w:sz w:val="32"/>
          <w:szCs w:val="32"/>
        </w:rPr>
        <w:t>”的部分由业务部门根据实际情况填写、补充，如没有补充的，请在相应部分划上“/”，所有“</w:t>
      </w:r>
      <w:r>
        <w:rPr>
          <w:rFonts w:hint="eastAsia" w:ascii="仿宋" w:hAnsi="仿宋" w:eastAsia="仿宋"/>
          <w:bCs/>
          <w:sz w:val="32"/>
          <w:szCs w:val="32"/>
          <w:u w:val="single"/>
        </w:rPr>
        <w:t xml:space="preserve">     </w:t>
      </w:r>
      <w:r>
        <w:rPr>
          <w:rFonts w:hint="eastAsia" w:ascii="仿宋" w:hAnsi="仿宋" w:eastAsia="仿宋"/>
          <w:bCs/>
          <w:sz w:val="32"/>
          <w:szCs w:val="32"/>
        </w:rPr>
        <w:t>”均应有按实际情况补充的内容或“/”。</w:t>
      </w:r>
    </w:p>
    <w:p w14:paraId="5C4409AD">
      <w:pPr>
        <w:widowControl/>
        <w:spacing w:line="360" w:lineRule="auto"/>
        <w:ind w:firstLine="480"/>
        <w:jc w:val="left"/>
        <w:rPr>
          <w:rFonts w:hint="eastAsia" w:ascii="仿宋" w:hAnsi="仿宋" w:eastAsia="仿宋"/>
          <w:bCs/>
          <w:sz w:val="32"/>
          <w:szCs w:val="32"/>
        </w:rPr>
      </w:pPr>
      <w:r>
        <w:rPr>
          <w:rFonts w:hint="eastAsia" w:ascii="仿宋" w:hAnsi="仿宋" w:eastAsia="仿宋"/>
          <w:bCs/>
          <w:sz w:val="32"/>
          <w:szCs w:val="32"/>
        </w:rPr>
        <w:t>4、文本中的注为对相应条款的说明（蓝色字体部分）在正式合同中不能出现，需删除。</w:t>
      </w:r>
    </w:p>
    <w:p w14:paraId="1AC23217">
      <w:pPr>
        <w:ind w:left="174"/>
        <w:jc w:val="center"/>
        <w:rPr>
          <w:rFonts w:hint="eastAsia" w:ascii="黑体" w:hAnsi="黑体" w:eastAsia="黑体" w:cs="黑体"/>
          <w:bCs/>
          <w:sz w:val="32"/>
          <w:szCs w:val="32"/>
        </w:rPr>
        <w:sectPr>
          <w:pgSz w:w="11906" w:h="16838"/>
          <w:pgMar w:top="2098" w:right="1418" w:bottom="1985" w:left="1418" w:header="851" w:footer="851" w:gutter="0"/>
          <w:cols w:space="720" w:num="1"/>
          <w:docGrid w:type="linesAndChars" w:linePitch="573" w:charSpace="-1843"/>
        </w:sectPr>
      </w:pPr>
    </w:p>
    <w:p w14:paraId="1FEA2B7F">
      <w:pPr>
        <w:wordWrap w:val="0"/>
        <w:jc w:val="right"/>
        <w:rPr>
          <w:rFonts w:hint="eastAsia" w:ascii="宋体" w:hAnsi="宋体"/>
          <w:b/>
          <w:bCs/>
          <w:sz w:val="28"/>
          <w:szCs w:val="36"/>
        </w:rPr>
      </w:pPr>
    </w:p>
    <w:p w14:paraId="759360AE">
      <w:pPr>
        <w:jc w:val="right"/>
        <w:rPr>
          <w:rFonts w:hint="eastAsia" w:ascii="宋体" w:hAnsi="宋体"/>
          <w:b/>
          <w:bCs/>
          <w:sz w:val="28"/>
          <w:szCs w:val="36"/>
          <w:u w:val="single"/>
        </w:rPr>
      </w:pPr>
      <w:r>
        <w:rPr>
          <w:rFonts w:hint="eastAsia" w:ascii="宋体" w:hAnsi="宋体"/>
          <w:b/>
          <w:bCs/>
          <w:sz w:val="28"/>
          <w:szCs w:val="36"/>
        </w:rPr>
        <w:t>合同号:</w:t>
      </w:r>
      <w:r>
        <w:rPr>
          <w:rFonts w:hint="eastAsia" w:ascii="宋体" w:hAnsi="宋体"/>
          <w:b/>
          <w:bCs/>
          <w:sz w:val="28"/>
          <w:szCs w:val="36"/>
          <w:u w:val="single"/>
        </w:rPr>
        <w:t xml:space="preserve">  GZSY-YS-HT -   </w:t>
      </w:r>
    </w:p>
    <w:p w14:paraId="31F0E03C">
      <w:pPr>
        <w:ind w:left="174"/>
        <w:jc w:val="center"/>
        <w:rPr>
          <w:rFonts w:hint="eastAsia" w:ascii="黑体" w:hAnsi="黑体" w:eastAsia="黑体" w:cs="黑体"/>
          <w:bCs/>
          <w:sz w:val="84"/>
          <w:szCs w:val="84"/>
        </w:rPr>
      </w:pPr>
    </w:p>
    <w:p w14:paraId="00D71C5E">
      <w:pPr>
        <w:ind w:left="174"/>
        <w:jc w:val="center"/>
        <w:rPr>
          <w:rFonts w:hint="eastAsia" w:ascii="黑体" w:hAnsi="黑体" w:eastAsia="黑体" w:cs="黑体"/>
          <w:bCs/>
          <w:sz w:val="84"/>
          <w:szCs w:val="84"/>
        </w:rPr>
      </w:pPr>
    </w:p>
    <w:p w14:paraId="5767E8F6">
      <w:pPr>
        <w:jc w:val="center"/>
        <w:rPr>
          <w:rFonts w:hint="eastAsia" w:ascii="宋体" w:hAnsi="宋体"/>
          <w:b/>
          <w:sz w:val="52"/>
          <w:szCs w:val="52"/>
        </w:rPr>
      </w:pPr>
      <w:r>
        <w:rPr>
          <w:rFonts w:hint="eastAsia" w:ascii="宋体" w:hAnsi="宋体"/>
          <w:b/>
          <w:sz w:val="52"/>
          <w:szCs w:val="52"/>
        </w:rPr>
        <w:t>广州中医药大学深圳医院（福田）</w:t>
      </w:r>
    </w:p>
    <w:p w14:paraId="486102A7">
      <w:pPr>
        <w:jc w:val="center"/>
        <w:rPr>
          <w:rFonts w:hint="eastAsia" w:ascii="华文中宋" w:hAnsi="华文中宋" w:eastAsia="华文中宋"/>
          <w:sz w:val="52"/>
          <w:szCs w:val="52"/>
        </w:rPr>
      </w:pPr>
      <w:bookmarkStart w:id="18" w:name="equipment"/>
      <w:bookmarkEnd w:id="18"/>
      <w:r>
        <w:rPr>
          <w:rFonts w:hint="eastAsia" w:ascii="宋体" w:hAnsi="宋体"/>
          <w:b/>
          <w:sz w:val="52"/>
          <w:szCs w:val="52"/>
        </w:rPr>
        <w:t>购买社会服务项目合同</w:t>
      </w:r>
    </w:p>
    <w:p w14:paraId="4CAFAB71">
      <w:pPr>
        <w:jc w:val="center"/>
        <w:rPr>
          <w:rFonts w:hint="eastAsia" w:ascii="华文中宋" w:hAnsi="华文中宋" w:eastAsia="华文中宋"/>
          <w:sz w:val="44"/>
          <w:szCs w:val="44"/>
        </w:rPr>
      </w:pPr>
    </w:p>
    <w:p w14:paraId="0A50E1AD">
      <w:pPr>
        <w:jc w:val="center"/>
        <w:rPr>
          <w:rFonts w:hint="eastAsia" w:ascii="华文中宋" w:hAnsi="华文中宋" w:eastAsia="华文中宋"/>
          <w:sz w:val="44"/>
          <w:szCs w:val="44"/>
        </w:rPr>
      </w:pPr>
    </w:p>
    <w:p w14:paraId="5BEE523C">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甲  方：</w:t>
      </w:r>
      <w:r>
        <w:rPr>
          <w:rFonts w:hint="eastAsia" w:ascii="仿宋" w:hAnsi="仿宋" w:eastAsia="仿宋" w:cs="仿宋"/>
          <w:sz w:val="32"/>
          <w:szCs w:val="48"/>
        </w:rPr>
        <w:t>_</w:t>
      </w:r>
      <w:r>
        <w:rPr>
          <w:rFonts w:hint="eastAsia" w:ascii="仿宋" w:hAnsi="仿宋" w:eastAsia="仿宋" w:cs="仿宋"/>
          <w:sz w:val="32"/>
          <w:szCs w:val="48"/>
          <w:u w:val="single"/>
        </w:rPr>
        <w:t>广州中医药大学深圳医院(福田)</w:t>
      </w:r>
      <w:r>
        <w:rPr>
          <w:rFonts w:hint="eastAsia" w:ascii="仿宋" w:hAnsi="仿宋" w:eastAsia="仿宋" w:cs="仿宋"/>
          <w:sz w:val="32"/>
          <w:szCs w:val="48"/>
        </w:rPr>
        <w:t>_</w:t>
      </w:r>
    </w:p>
    <w:p w14:paraId="60D59DF6">
      <w:pPr>
        <w:adjustRightInd w:val="0"/>
        <w:snapToGrid w:val="0"/>
        <w:spacing w:line="580" w:lineRule="exact"/>
        <w:ind w:firstLine="1872" w:firstLineChars="600"/>
        <w:jc w:val="left"/>
        <w:rPr>
          <w:rFonts w:hint="eastAsia" w:ascii="仿宋" w:hAnsi="仿宋" w:eastAsia="仿宋" w:cs="仿宋"/>
          <w:b/>
          <w:sz w:val="32"/>
          <w:szCs w:val="48"/>
        </w:rPr>
      </w:pPr>
    </w:p>
    <w:p w14:paraId="7E19E238">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乙  方：___________________________</w:t>
      </w:r>
    </w:p>
    <w:p w14:paraId="42088836">
      <w:pPr>
        <w:adjustRightInd w:val="0"/>
        <w:snapToGrid w:val="0"/>
        <w:spacing w:line="580" w:lineRule="exact"/>
        <w:ind w:firstLine="1872" w:firstLineChars="600"/>
        <w:jc w:val="left"/>
        <w:rPr>
          <w:rFonts w:hint="eastAsia" w:ascii="仿宋" w:hAnsi="仿宋" w:eastAsia="仿宋" w:cs="仿宋"/>
          <w:b/>
          <w:sz w:val="32"/>
          <w:szCs w:val="48"/>
        </w:rPr>
      </w:pPr>
    </w:p>
    <w:p w14:paraId="5C5E61D9">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签订日期：_______年______月______日</w:t>
      </w:r>
    </w:p>
    <w:p w14:paraId="7442543C">
      <w:pPr>
        <w:jc w:val="center"/>
        <w:rPr>
          <w:rFonts w:hint="eastAsia" w:ascii="仿宋" w:hAnsi="仿宋" w:eastAsia="仿宋" w:cs="仿宋"/>
          <w:sz w:val="32"/>
          <w:szCs w:val="48"/>
        </w:rPr>
        <w:sectPr>
          <w:headerReference r:id="rId9" w:type="default"/>
          <w:pgSz w:w="11906" w:h="16838"/>
          <w:pgMar w:top="2098" w:right="1418" w:bottom="1985" w:left="1418" w:header="851" w:footer="851" w:gutter="0"/>
          <w:cols w:space="720" w:num="1"/>
          <w:docGrid w:type="linesAndChars" w:linePitch="573" w:charSpace="-1843"/>
        </w:sectPr>
      </w:pPr>
    </w:p>
    <w:p w14:paraId="4A0D7E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广州中医药大学深圳医院(福田)   </w:t>
      </w:r>
      <w:r>
        <w:rPr>
          <w:rFonts w:hint="eastAsia" w:ascii="仿宋_GB2312" w:hAnsi="仿宋_GB2312" w:eastAsia="仿宋_GB2312" w:cs="仿宋_GB2312"/>
          <w:sz w:val="32"/>
          <w:szCs w:val="32"/>
        </w:rPr>
        <w:t>（购买方）</w:t>
      </w:r>
    </w:p>
    <w:p w14:paraId="02BA79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46D7A3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59A9F7D8">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6895FCF9">
      <w:pPr>
        <w:pStyle w:val="9"/>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电话：</w:t>
      </w:r>
    </w:p>
    <w:p w14:paraId="5D16BEB0">
      <w:pPr>
        <w:rPr>
          <w:rFonts w:hint="eastAsia" w:ascii="仿宋_GB2312" w:hAnsi="仿宋_GB2312" w:eastAsia="仿宋_GB2312" w:cs="仿宋_GB2312"/>
          <w:sz w:val="32"/>
          <w:szCs w:val="32"/>
        </w:rPr>
      </w:pPr>
    </w:p>
    <w:p w14:paraId="4C9E44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（服务方）</w:t>
      </w:r>
    </w:p>
    <w:p w14:paraId="6EC21E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81141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3915F013">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19A7CEE3">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电话：</w:t>
      </w:r>
    </w:p>
    <w:p w14:paraId="55B8A6F7">
      <w:pPr>
        <w:rPr>
          <w:rFonts w:hint="eastAsia" w:ascii="仿宋_GB2312" w:hAnsi="仿宋_GB2312" w:eastAsia="仿宋_GB2312" w:cs="仿宋_GB2312"/>
          <w:sz w:val="32"/>
          <w:szCs w:val="32"/>
        </w:rPr>
      </w:pPr>
    </w:p>
    <w:p w14:paraId="27EA3D08">
      <w:pPr>
        <w:ind w:firstLine="6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根据《中华人民共和国民法典》和《深圳经济特区政府采购条例》等有关法律法规规定。为保证所购的服务质量，明确双方的权利义务，甲乙双方在平等、自愿、协商一致的基础上，就有关事宜达成如下协议：</w:t>
      </w:r>
    </w:p>
    <w:p w14:paraId="6034139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服务内容</w:t>
      </w:r>
    </w:p>
    <w:p w14:paraId="48DFED08">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（具体说明委托开展服务的事项、服务内容、服务成果）</w:t>
      </w:r>
    </w:p>
    <w:p w14:paraId="519524B2">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服务要求</w:t>
      </w:r>
    </w:p>
    <w:p w14:paraId="61ADA3DE">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（具体分条说明服务要求、服务标准、时间节点等事项，明确提交服务成果的具体时间，可另附明细附件）</w:t>
      </w:r>
    </w:p>
    <w:p w14:paraId="5D74685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服务费用及支付方式</w:t>
      </w:r>
    </w:p>
    <w:p w14:paraId="55D4CD7E">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1.本合同总服务费用为人民币</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eastAsia="zh-CN"/>
        </w:rPr>
        <w:t>元</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（大写：圆整）。</w:t>
      </w:r>
      <w:r>
        <w:rPr>
          <w:rFonts w:hint="eastAsia" w:ascii="仿宋_GB2312" w:hAnsi="仿宋_GB2312" w:eastAsia="仿宋_GB2312" w:cs="仿宋_GB2312"/>
          <w:color w:val="0000FF"/>
          <w:sz w:val="32"/>
        </w:rPr>
        <w:t>【如采取分期付款，在本条增加分期付款节点及相应金额】</w:t>
      </w:r>
      <w:r>
        <w:rPr>
          <w:rFonts w:hint="eastAsia" w:ascii="仿宋_GB2312" w:hAnsi="仿宋_GB2312" w:eastAsia="仿宋_GB2312" w:cs="仿宋_GB2312"/>
          <w:sz w:val="32"/>
        </w:rPr>
        <w:t>，该费用已包括了乙方履行本合同约定服务的所有费用，甲方无须支付其他费用。</w:t>
      </w:r>
    </w:p>
    <w:p w14:paraId="5FDC3177">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2.服务费用在乙方完成服务事项提交服务成果且经甲方验收合格后十五个工作日内支付。</w:t>
      </w:r>
    </w:p>
    <w:p w14:paraId="1D6282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向甲方请款前应向甲方提供与请款金额一致的合法、有效的增值税发票，因乙方未按约定提供增值税发票的，甲方可暂不支付合同款项，乙方不得因此拒绝履行合同义务。因乙方原因未能及时提供发票导致甲方延迟付款的，甲方不承担违约责任。</w:t>
      </w:r>
    </w:p>
    <w:p w14:paraId="672765BC">
      <w:pPr>
        <w:pStyle w:val="30"/>
        <w:spacing w:line="240" w:lineRule="auto"/>
        <w:ind w:firstLine="640"/>
        <w:rPr>
          <w:rFonts w:hint="eastAsia" w:ascii="仿宋_GB2312" w:hAnsi="仿宋_GB2312" w:eastAsia="仿宋_GB2312" w:cs="仿宋_GB2312"/>
          <w:sz w:val="32"/>
        </w:rPr>
      </w:pPr>
      <w:bookmarkStart w:id="19" w:name="_Hlk108082381"/>
      <w:r>
        <w:rPr>
          <w:rFonts w:hint="eastAsia" w:ascii="仿宋_GB2312" w:hAnsi="仿宋_GB2312" w:eastAsia="仿宋_GB2312" w:cs="仿宋_GB2312"/>
          <w:sz w:val="32"/>
        </w:rPr>
        <w:t>4.乙方指定收款的银行账户信息如下：</w:t>
      </w:r>
    </w:p>
    <w:p w14:paraId="6D76C226">
      <w:pPr>
        <w:pStyle w:val="30"/>
        <w:spacing w:line="240" w:lineRule="auto"/>
        <w:ind w:firstLine="640"/>
        <w:rPr>
          <w:rFonts w:hint="eastAsia" w:ascii="仿宋_GB2312" w:hAnsi="仿宋_GB2312" w:eastAsia="仿宋_GB2312" w:cs="仿宋_GB2312"/>
          <w:sz w:val="32"/>
        </w:rPr>
      </w:pPr>
      <w:bookmarkStart w:id="20" w:name="_Hlk108082443"/>
      <w:r>
        <w:rPr>
          <w:rFonts w:hint="eastAsia" w:ascii="仿宋_GB2312" w:hAnsi="仿宋_GB2312" w:eastAsia="仿宋_GB2312" w:cs="仿宋_GB2312"/>
          <w:sz w:val="32"/>
        </w:rPr>
        <w:t>户名：</w:t>
      </w:r>
    </w:p>
    <w:p w14:paraId="000318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11CAFC5C">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账号：</w:t>
      </w:r>
    </w:p>
    <w:bookmarkEnd w:id="19"/>
    <w:bookmarkEnd w:id="20"/>
    <w:p w14:paraId="334014F7">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第四条 合同期限与终止</w:t>
      </w:r>
    </w:p>
    <w:p w14:paraId="3C710A3B">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1.合同期限：自</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日至</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日止。</w:t>
      </w:r>
    </w:p>
    <w:p w14:paraId="57A247FF">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2.合同的终止：</w:t>
      </w:r>
    </w:p>
    <w:p w14:paraId="07B0D99B">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（1）合同义务履行完毕；</w:t>
      </w:r>
    </w:p>
    <w:p w14:paraId="2698CC3A">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（2）乙方服务能力丧失，致使服务无法正常进行的；</w:t>
      </w:r>
    </w:p>
    <w:p w14:paraId="4EDF9A65">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（3）在履行合同过程中，发现乙方不符合《深圳经济特区政府采购条例》及《深圳经济特区政府采购条例实施细则》等相关法律法规中规定的服务供应方（社会组织）应具备的条件，造成合同无法履行的。</w:t>
      </w:r>
    </w:p>
    <w:p w14:paraId="7332FFE9">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第五条 服务绩效评估</w:t>
      </w:r>
    </w:p>
    <w:p w14:paraId="06908B14">
      <w:pPr>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乙方承接服务项目后，甲方可对项目实施情况进行全程跟踪和监督，乙方应当积极配合。项目完成后，甲方有权对项目的工作绩效、服务对象受益情况、满意度等进行评估并对资金使用情况进行审计。</w:t>
      </w:r>
    </w:p>
    <w:p w14:paraId="72343470">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双方权利和义务</w:t>
      </w:r>
    </w:p>
    <w:p w14:paraId="57CC930A">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（一）甲方权利、义务</w:t>
      </w:r>
    </w:p>
    <w:p w14:paraId="5E31C544">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1.在合同服务期限内，甲方可以随时了解掌握项目工作进度，对乙方经费使用情况和各项制度落实情况进行监管，乙方应当配合。</w:t>
      </w:r>
    </w:p>
    <w:p w14:paraId="3669AB5A">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2.根据乙方要求，协调相关单位，为项目服务工作提供必要的支持和帮助。</w:t>
      </w:r>
    </w:p>
    <w:p w14:paraId="0EDF79E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3.为开展绩效评估，甲方应对乙方制定具体的考评意见。</w:t>
      </w:r>
    </w:p>
    <w:p w14:paraId="2E5392F1">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（二）乙方权利、义务</w:t>
      </w:r>
    </w:p>
    <w:p w14:paraId="5738F81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1.乙方可要求甲方按本合同的规定按时足额拨付项目经费。</w:t>
      </w:r>
    </w:p>
    <w:p w14:paraId="3F92BB0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2.乙方应配备具有相应资质、工作经验并受到良好培训的工作人员，按照合同要求的标准和时限做好服务工作，并督导工作人员严格遵守有关工作纪律。</w:t>
      </w:r>
    </w:p>
    <w:p w14:paraId="7B1E2DF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在履行合同过程中，不得将服务项目委托给第三人，应按本合同如实报告项目进展情况。如乙方未能在合同期内完成全部项目的服务内容，合同结束后，应将甲方已经支付但未发生的款项返还甲方，并承担违约责任。</w:t>
      </w:r>
    </w:p>
    <w:p w14:paraId="4FD5896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4.乙方应妥善保管、及时归还甲方移交的项目资料。</w:t>
      </w:r>
    </w:p>
    <w:p w14:paraId="4E055B95">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第七条 保密义务</w:t>
      </w:r>
    </w:p>
    <w:p w14:paraId="3E9746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方应当对本协议的内容、因履行本协议或在本协议期间收到的商务、财务、技术、产品的信息、项目资料、用户资料或其他标明保密的文件或信息(简称“保密资料”)保守秘密，未经甲方书面事先同意，不得向本协议以外的任何第三方披露。乙方可仅为本协议目的向其确有知悉必要的雇员披露对方提供的保密资料，但同时须指示其雇员遵守本条规定的保密及不披露义务。</w:t>
      </w:r>
    </w:p>
    <w:p w14:paraId="4C6C57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除非得到另一方的书面许可，甲乙双方均不得将本合同中的内容及在本合同执行过程中获得的对方的信息向任何第三方泄露。（因国家行政机关、司法机关及行业主管部门依据法律法规规定的需要披露相关信息的除外）</w:t>
      </w:r>
    </w:p>
    <w:p w14:paraId="737364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人员违反上述保密规定的，应向甲方支付本合同总额的20%作为违约金，并承担由此造成的所有经济损失（包括但不限于诉讼费、律师费、鉴定费、评估费、公证费、差旅费以及因此造成的其他实际损失等）及相应的法律责任。</w:t>
      </w:r>
    </w:p>
    <w:p w14:paraId="2CD5B5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4.本保密义务应在本协议期满、解除或终止后仍然有效。</w:t>
      </w:r>
    </w:p>
    <w:p w14:paraId="1D9C57A1">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第八条 违约责任</w:t>
      </w:r>
    </w:p>
    <w:p w14:paraId="11DA8B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履行过程中，双方因违约或重大过失造成对方经济损失的应当赔偿，如甲方无正当理由未按合同规定期限或金额向乙方支付合同价款逾期超过十个工作日的，乙方有权要求甲方支付应付金额并补偿因此造成的损失。如乙方未在约定时间内按要求完成合同义务逾期超过十个工作日的，除赔偿甲方所有损失外，应支付合同总价20%的违约金。</w:t>
      </w:r>
    </w:p>
    <w:p w14:paraId="083839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乙方违反本协议约定，甲方有权告知乙方在指定的期限内进行整改，采取补救措施以防止违约损失的进一步扩大。如乙方未在甲方指定的期限内进行整改，为防止损失的进一步扩大，甲方有权解除本次合同，另行委托第三方进行整改，因此产生的支付第三方的全部费用及给甲方造成的损失赔偿责任由乙方承担。如乙方拒不向甲方支付该费用的，甲方通过法律途径向乙方追索该费用，因向追索乙方承担该费用而支付的律师费、差旅费、调查费、评估费、诉讼费等由乙方承担。</w:t>
      </w:r>
    </w:p>
    <w:p w14:paraId="6FFD1B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因乙方原因，造成甲方任何资料泄露致使甲方遭受相关损失或不良后果，甲方有权解除与乙方签订的本次合同，解除合同通知书送达至乙方立即发生法律效力，且乙方对因其违约行为给甲方造成全部损失的承担赔偿责任。</w:t>
      </w:r>
    </w:p>
    <w:p w14:paraId="5C149CE5">
      <w:pPr>
        <w:pStyle w:val="9"/>
        <w:adjustRightInd w:val="0"/>
        <w:snapToGrid w:val="0"/>
        <w:ind w:firstLine="643" w:firstLineChars="200"/>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第九条 不可抗力</w:t>
      </w:r>
    </w:p>
    <w:p w14:paraId="1DD3DB3B">
      <w:pPr>
        <w:pStyle w:val="9"/>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不可抗力系指双方在缔结协议时不能预见、并且它的发生及后果是不能克服和不能避免的客观情况。一方因不可抗力不能履行合同或不能完全履行合同的，根据不可抗力的影响，可以部分或全部地免除责任。由于不可抗力原因致使合同无法履行时，无法履行合同义务的一方应以合理方式立即将不能履行合同的事实通知另一方，并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38E1856">
      <w:pPr>
        <w:pStyle w:val="9"/>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2.一方迟延履行后发生不可抗力的，不能免除责任。</w:t>
      </w:r>
    </w:p>
    <w:p w14:paraId="5D48740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b/>
          <w:bCs/>
          <w:sz w:val="32"/>
          <w:szCs w:val="32"/>
        </w:rPr>
        <w:t>送达条款</w:t>
      </w:r>
    </w:p>
    <w:p w14:paraId="3F983A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DFA30E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第十一条 争议解决</w:t>
      </w:r>
    </w:p>
    <w:p w14:paraId="12328A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本合同在履行过程中发生争议，由甲、乙方协商解决，协商不成的，可以向甲方所在地的人民法院提起诉讼。</w:t>
      </w:r>
    </w:p>
    <w:p w14:paraId="37EB90AD">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第十二条 其他</w:t>
      </w:r>
    </w:p>
    <w:p w14:paraId="631A1C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份，甲方、乙方各执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份，经甲、乙双方法定代表人或授权代表签字并加盖公章之日起生效。附件系本合同组成部分，与本合同具有同等法律效力，附件以邮件方式送达为准。</w:t>
      </w:r>
    </w:p>
    <w:p w14:paraId="7BCE05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（以下无正文，为各方签字盖章处）</w:t>
      </w:r>
    </w:p>
    <w:p w14:paraId="29A7CE35">
      <w:pPr>
        <w:widowControl/>
        <w:jc w:val="left"/>
        <w:rPr>
          <w:rFonts w:hint="eastAsia" w:ascii="仿宋_GB2312" w:hAnsi="仿宋_GB2312" w:eastAsia="仿宋_GB2312" w:cs="仿宋_GB2312"/>
          <w:sz w:val="32"/>
          <w:szCs w:val="32"/>
        </w:rPr>
      </w:pPr>
    </w:p>
    <w:p w14:paraId="259E8D9D">
      <w:pPr>
        <w:pStyle w:val="8"/>
        <w:spacing w:after="0"/>
        <w:rPr>
          <w:rFonts w:hint="eastAsia" w:ascii="仿宋_GB2312" w:hAnsi="仿宋_GB2312" w:eastAsia="仿宋_GB2312" w:cs="仿宋_GB2312"/>
          <w:sz w:val="32"/>
          <w:szCs w:val="32"/>
        </w:rPr>
      </w:pPr>
    </w:p>
    <w:p w14:paraId="4EAB89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甲方：广州中医药大学深圳医院（福田）  乙方：</w:t>
      </w:r>
    </w:p>
    <w:p w14:paraId="25B4352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住所地：深圳市福田区北环大道6001号   住所地：</w:t>
      </w:r>
    </w:p>
    <w:p w14:paraId="0D67AC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14:paraId="5D4BBF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                          委托代理人：</w:t>
      </w:r>
    </w:p>
    <w:p w14:paraId="3DF8C4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14:paraId="0B991B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14:paraId="0BBE2C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                                账号：</w:t>
      </w:r>
    </w:p>
    <w:p w14:paraId="0CF3CD55">
      <w:r>
        <w:rPr>
          <w:rFonts w:hint="eastAsia" w:ascii="仿宋_GB2312" w:hAnsi="仿宋_GB2312" w:eastAsia="仿宋_GB2312" w:cs="仿宋_GB2312"/>
          <w:sz w:val="32"/>
          <w:szCs w:val="32"/>
        </w:rPr>
        <w:t xml:space="preserve">签约时间：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D69152-6955-4B41-9CDE-02FE1195C9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BDA61E6-0AB1-45E9-A285-2C337924DAFC}"/>
  </w:font>
  <w:font w:name="等线">
    <w:panose1 w:val="02010600030101010101"/>
    <w:charset w:val="86"/>
    <w:family w:val="auto"/>
    <w:pitch w:val="default"/>
    <w:sig w:usb0="A00002BF" w:usb1="38CF7CFA" w:usb2="00000016" w:usb3="00000000" w:csb0="0004000F" w:csb1="00000000"/>
    <w:embedRegular r:id="rId3" w:fontKey="{DDC81556-5667-4231-A26E-AA1B319617AF}"/>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82237383-0D65-43BB-80FD-081A79509A51}"/>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5" w:fontKey="{1EE615D8-421F-42B1-9E66-274AB7E6E012}"/>
  </w:font>
  <w:font w:name="仿宋_GB2312">
    <w:panose1 w:val="02010609030101010101"/>
    <w:charset w:val="86"/>
    <w:family w:val="modern"/>
    <w:pitch w:val="default"/>
    <w:sig w:usb0="00000001" w:usb1="080E0000" w:usb2="00000000" w:usb3="00000000" w:csb0="00040000" w:csb1="00000000"/>
    <w:embedRegular r:id="rId6" w:fontKey="{B68EF3BD-83FD-4EFD-996D-93B181B0F013}"/>
  </w:font>
  <w:font w:name="华文中宋">
    <w:panose1 w:val="02010600040101010101"/>
    <w:charset w:val="86"/>
    <w:family w:val="auto"/>
    <w:pitch w:val="default"/>
    <w:sig w:usb0="00000287" w:usb1="080F0000" w:usb2="00000000" w:usb3="00000000" w:csb0="0004009F" w:csb1="DFD70000"/>
    <w:embedRegular r:id="rId7" w:fontKey="{2885AC12-26BB-4A50-96A3-2CBB068C05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1F9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0A1B4">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400A1B4">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10"/>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DDB865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1"/>
    </w:pPr>
    <w:r>
      <w:drawing>
        <wp:inline distT="0" distB="0" distL="114300" distR="114300">
          <wp:extent cx="4164330" cy="733425"/>
          <wp:effectExtent l="0" t="0" r="7620" b="9525"/>
          <wp:docPr id="1"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1"/>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6B3A">
    <w:pPr>
      <w:jc w:val="center"/>
    </w:pPr>
    <w:r>
      <w:drawing>
        <wp:inline distT="0" distB="0" distL="114300" distR="114300">
          <wp:extent cx="4400550" cy="714375"/>
          <wp:effectExtent l="0" t="0" r="0" b="9525"/>
          <wp:docPr id="5" name="图片 4"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8B98F"/>
    <w:multiLevelType w:val="singleLevel"/>
    <w:tmpl w:val="ADC8B98F"/>
    <w:lvl w:ilvl="0" w:tentative="0">
      <w:start w:val="2"/>
      <w:numFmt w:val="chineseCounting"/>
      <w:suff w:val="space"/>
      <w:lvlText w:val="第%1章"/>
      <w:lvlJc w:val="left"/>
      <w:rPr>
        <w:rFonts w:hint="eastAsia"/>
      </w:rPr>
    </w:lvl>
  </w:abstractNum>
  <w:abstractNum w:abstractNumId="1">
    <w:nsid w:val="BD816627"/>
    <w:multiLevelType w:val="singleLevel"/>
    <w:tmpl w:val="BD816627"/>
    <w:lvl w:ilvl="0" w:tentative="0">
      <w:start w:val="1"/>
      <w:numFmt w:val="chineseCounting"/>
      <w:suff w:val="nothing"/>
      <w:lvlText w:val="%1、"/>
      <w:lvlJc w:val="left"/>
      <w:pPr>
        <w:ind w:left="0" w:firstLine="420"/>
      </w:pPr>
      <w:rPr>
        <w:rFonts w:hint="eastAsia"/>
      </w:rPr>
    </w:lvl>
  </w:abstractNum>
  <w:abstractNum w:abstractNumId="2">
    <w:nsid w:val="D49714EB"/>
    <w:multiLevelType w:val="singleLevel"/>
    <w:tmpl w:val="D49714EB"/>
    <w:lvl w:ilvl="0" w:tentative="0">
      <w:start w:val="1"/>
      <w:numFmt w:val="decimal"/>
      <w:lvlText w:val="%1."/>
      <w:lvlJc w:val="left"/>
      <w:pPr>
        <w:tabs>
          <w:tab w:val="left" w:pos="312"/>
        </w:tabs>
      </w:pPr>
    </w:lvl>
  </w:abstractNum>
  <w:abstractNum w:abstractNumId="3">
    <w:nsid w:val="EF0689F1"/>
    <w:multiLevelType w:val="singleLevel"/>
    <w:tmpl w:val="EF0689F1"/>
    <w:lvl w:ilvl="0" w:tentative="0">
      <w:start w:val="3"/>
      <w:numFmt w:val="decimal"/>
      <w:suff w:val="nothing"/>
      <w:lvlText w:val="%1）"/>
      <w:lvlJc w:val="left"/>
    </w:lvl>
  </w:abstractNum>
  <w:abstractNum w:abstractNumId="4">
    <w:nsid w:val="F97135CB"/>
    <w:multiLevelType w:val="singleLevel"/>
    <w:tmpl w:val="F97135CB"/>
    <w:lvl w:ilvl="0" w:tentative="0">
      <w:start w:val="2"/>
      <w:numFmt w:val="decimal"/>
      <w:suff w:val="space"/>
      <w:lvlText w:val="%1."/>
      <w:lvlJc w:val="left"/>
    </w:lvl>
  </w:abstractNum>
  <w:abstractNum w:abstractNumId="5">
    <w:nsid w:val="08E5082B"/>
    <w:multiLevelType w:val="singleLevel"/>
    <w:tmpl w:val="08E5082B"/>
    <w:lvl w:ilvl="0" w:tentative="0">
      <w:start w:val="1"/>
      <w:numFmt w:val="decimal"/>
      <w:suff w:val="nothing"/>
      <w:lvlText w:val="（%1）"/>
      <w:lvlJc w:val="left"/>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44F49"/>
    <w:rsid w:val="00066348"/>
    <w:rsid w:val="00072F73"/>
    <w:rsid w:val="000738EF"/>
    <w:rsid w:val="00090EA9"/>
    <w:rsid w:val="0009369F"/>
    <w:rsid w:val="000954BD"/>
    <w:rsid w:val="000A18EE"/>
    <w:rsid w:val="000B03F9"/>
    <w:rsid w:val="000C2771"/>
    <w:rsid w:val="00101F5A"/>
    <w:rsid w:val="00120A1C"/>
    <w:rsid w:val="00125FA5"/>
    <w:rsid w:val="001433B6"/>
    <w:rsid w:val="0014461E"/>
    <w:rsid w:val="001453F7"/>
    <w:rsid w:val="001664A3"/>
    <w:rsid w:val="00185313"/>
    <w:rsid w:val="001A1A77"/>
    <w:rsid w:val="001A7C91"/>
    <w:rsid w:val="001B3CA8"/>
    <w:rsid w:val="001D26FC"/>
    <w:rsid w:val="001D670E"/>
    <w:rsid w:val="001E0ED8"/>
    <w:rsid w:val="0020584D"/>
    <w:rsid w:val="00226859"/>
    <w:rsid w:val="0023440B"/>
    <w:rsid w:val="00246C2E"/>
    <w:rsid w:val="00280BD9"/>
    <w:rsid w:val="002D0236"/>
    <w:rsid w:val="002E6062"/>
    <w:rsid w:val="002F35A3"/>
    <w:rsid w:val="00315B33"/>
    <w:rsid w:val="003170B7"/>
    <w:rsid w:val="00326ADD"/>
    <w:rsid w:val="003273E0"/>
    <w:rsid w:val="00342A2C"/>
    <w:rsid w:val="0034393B"/>
    <w:rsid w:val="0034509F"/>
    <w:rsid w:val="00354015"/>
    <w:rsid w:val="00354F54"/>
    <w:rsid w:val="003579B2"/>
    <w:rsid w:val="00362B85"/>
    <w:rsid w:val="00364E1D"/>
    <w:rsid w:val="00376647"/>
    <w:rsid w:val="00396E3A"/>
    <w:rsid w:val="003A3CA0"/>
    <w:rsid w:val="003F1DE5"/>
    <w:rsid w:val="00400A3D"/>
    <w:rsid w:val="00402020"/>
    <w:rsid w:val="0040469D"/>
    <w:rsid w:val="0042054C"/>
    <w:rsid w:val="00423392"/>
    <w:rsid w:val="004237CB"/>
    <w:rsid w:val="00424714"/>
    <w:rsid w:val="00424CAB"/>
    <w:rsid w:val="0043711C"/>
    <w:rsid w:val="00441560"/>
    <w:rsid w:val="00447D36"/>
    <w:rsid w:val="00451370"/>
    <w:rsid w:val="0046660C"/>
    <w:rsid w:val="00473D08"/>
    <w:rsid w:val="00481870"/>
    <w:rsid w:val="0048284E"/>
    <w:rsid w:val="00492146"/>
    <w:rsid w:val="00497E48"/>
    <w:rsid w:val="004A250B"/>
    <w:rsid w:val="004A2F43"/>
    <w:rsid w:val="004C1044"/>
    <w:rsid w:val="004D383F"/>
    <w:rsid w:val="004E4E82"/>
    <w:rsid w:val="0053197F"/>
    <w:rsid w:val="00537E1B"/>
    <w:rsid w:val="005442F6"/>
    <w:rsid w:val="00561731"/>
    <w:rsid w:val="00563F9F"/>
    <w:rsid w:val="00576AB6"/>
    <w:rsid w:val="0058534C"/>
    <w:rsid w:val="00585B9E"/>
    <w:rsid w:val="0059735E"/>
    <w:rsid w:val="005A1193"/>
    <w:rsid w:val="005D0061"/>
    <w:rsid w:val="005E1EA8"/>
    <w:rsid w:val="005F3C9F"/>
    <w:rsid w:val="00602DE6"/>
    <w:rsid w:val="00607A33"/>
    <w:rsid w:val="00635D46"/>
    <w:rsid w:val="00654FE8"/>
    <w:rsid w:val="00671309"/>
    <w:rsid w:val="006722BD"/>
    <w:rsid w:val="006740BF"/>
    <w:rsid w:val="00686534"/>
    <w:rsid w:val="00690180"/>
    <w:rsid w:val="00694314"/>
    <w:rsid w:val="00696D3E"/>
    <w:rsid w:val="006971CA"/>
    <w:rsid w:val="006B48F8"/>
    <w:rsid w:val="006C683B"/>
    <w:rsid w:val="0070196E"/>
    <w:rsid w:val="0070599F"/>
    <w:rsid w:val="00712342"/>
    <w:rsid w:val="00723FBC"/>
    <w:rsid w:val="007279D3"/>
    <w:rsid w:val="00731F35"/>
    <w:rsid w:val="00754074"/>
    <w:rsid w:val="00755615"/>
    <w:rsid w:val="007616B7"/>
    <w:rsid w:val="00781486"/>
    <w:rsid w:val="00797875"/>
    <w:rsid w:val="007B5599"/>
    <w:rsid w:val="007E4999"/>
    <w:rsid w:val="008051A0"/>
    <w:rsid w:val="00805F09"/>
    <w:rsid w:val="008176D8"/>
    <w:rsid w:val="00845E04"/>
    <w:rsid w:val="00854B9E"/>
    <w:rsid w:val="00877E49"/>
    <w:rsid w:val="008877C8"/>
    <w:rsid w:val="00890F31"/>
    <w:rsid w:val="00894ABB"/>
    <w:rsid w:val="008B26C5"/>
    <w:rsid w:val="008B5D62"/>
    <w:rsid w:val="008D3328"/>
    <w:rsid w:val="008E3E3A"/>
    <w:rsid w:val="008F6107"/>
    <w:rsid w:val="00922173"/>
    <w:rsid w:val="00931B1C"/>
    <w:rsid w:val="0093671C"/>
    <w:rsid w:val="009529C3"/>
    <w:rsid w:val="009713C7"/>
    <w:rsid w:val="009A114F"/>
    <w:rsid w:val="009B22A1"/>
    <w:rsid w:val="009C48C7"/>
    <w:rsid w:val="009C6EF6"/>
    <w:rsid w:val="009E5895"/>
    <w:rsid w:val="009F5014"/>
    <w:rsid w:val="009F6F6F"/>
    <w:rsid w:val="00A10AA4"/>
    <w:rsid w:val="00A25DC2"/>
    <w:rsid w:val="00A378FC"/>
    <w:rsid w:val="00A40DBD"/>
    <w:rsid w:val="00A4550A"/>
    <w:rsid w:val="00A7282B"/>
    <w:rsid w:val="00A80ECD"/>
    <w:rsid w:val="00A92E05"/>
    <w:rsid w:val="00A975EE"/>
    <w:rsid w:val="00AC282A"/>
    <w:rsid w:val="00AC6CF6"/>
    <w:rsid w:val="00AE0278"/>
    <w:rsid w:val="00B035C9"/>
    <w:rsid w:val="00B04F67"/>
    <w:rsid w:val="00B159F3"/>
    <w:rsid w:val="00B25323"/>
    <w:rsid w:val="00B63A35"/>
    <w:rsid w:val="00B972BD"/>
    <w:rsid w:val="00BB0E5A"/>
    <w:rsid w:val="00BC293C"/>
    <w:rsid w:val="00BD55F9"/>
    <w:rsid w:val="00BE2257"/>
    <w:rsid w:val="00BE501E"/>
    <w:rsid w:val="00BE5054"/>
    <w:rsid w:val="00BF3811"/>
    <w:rsid w:val="00BF4DBB"/>
    <w:rsid w:val="00BF651A"/>
    <w:rsid w:val="00C11FAE"/>
    <w:rsid w:val="00C126C0"/>
    <w:rsid w:val="00C34428"/>
    <w:rsid w:val="00C35562"/>
    <w:rsid w:val="00C4012C"/>
    <w:rsid w:val="00C61D9C"/>
    <w:rsid w:val="00C745F1"/>
    <w:rsid w:val="00C761A2"/>
    <w:rsid w:val="00C84707"/>
    <w:rsid w:val="00C8674D"/>
    <w:rsid w:val="00CA4233"/>
    <w:rsid w:val="00CB13DF"/>
    <w:rsid w:val="00CC1047"/>
    <w:rsid w:val="00CE2AF5"/>
    <w:rsid w:val="00CE4442"/>
    <w:rsid w:val="00CE6314"/>
    <w:rsid w:val="00CE7B2C"/>
    <w:rsid w:val="00CF3742"/>
    <w:rsid w:val="00CF7531"/>
    <w:rsid w:val="00D01761"/>
    <w:rsid w:val="00D20911"/>
    <w:rsid w:val="00D34E17"/>
    <w:rsid w:val="00D512D1"/>
    <w:rsid w:val="00D535CC"/>
    <w:rsid w:val="00D651B8"/>
    <w:rsid w:val="00D6754E"/>
    <w:rsid w:val="00D92543"/>
    <w:rsid w:val="00DA5B67"/>
    <w:rsid w:val="00DA656F"/>
    <w:rsid w:val="00E17467"/>
    <w:rsid w:val="00E23E29"/>
    <w:rsid w:val="00E36AEE"/>
    <w:rsid w:val="00E575F8"/>
    <w:rsid w:val="00E6361F"/>
    <w:rsid w:val="00E6512C"/>
    <w:rsid w:val="00E7162D"/>
    <w:rsid w:val="00E75B29"/>
    <w:rsid w:val="00E77BA3"/>
    <w:rsid w:val="00EB0701"/>
    <w:rsid w:val="00EB3F9B"/>
    <w:rsid w:val="00EB7249"/>
    <w:rsid w:val="00ED7FC2"/>
    <w:rsid w:val="00EF6B29"/>
    <w:rsid w:val="00F034A2"/>
    <w:rsid w:val="00F06B03"/>
    <w:rsid w:val="00F14DA7"/>
    <w:rsid w:val="00F175EF"/>
    <w:rsid w:val="00F23E6A"/>
    <w:rsid w:val="00F3546E"/>
    <w:rsid w:val="00F4213B"/>
    <w:rsid w:val="00F46E11"/>
    <w:rsid w:val="00F47B1B"/>
    <w:rsid w:val="00F87427"/>
    <w:rsid w:val="00FA45E6"/>
    <w:rsid w:val="00FB6B4F"/>
    <w:rsid w:val="00FD5727"/>
    <w:rsid w:val="00FE08A2"/>
    <w:rsid w:val="021A670D"/>
    <w:rsid w:val="0253513E"/>
    <w:rsid w:val="02E44D47"/>
    <w:rsid w:val="056D5CE7"/>
    <w:rsid w:val="06B67DEE"/>
    <w:rsid w:val="072903AA"/>
    <w:rsid w:val="082F0451"/>
    <w:rsid w:val="08C2226D"/>
    <w:rsid w:val="0AA04ED0"/>
    <w:rsid w:val="0B4E292B"/>
    <w:rsid w:val="0C771190"/>
    <w:rsid w:val="0D9B5880"/>
    <w:rsid w:val="0F9D2430"/>
    <w:rsid w:val="10A751A4"/>
    <w:rsid w:val="11E5628A"/>
    <w:rsid w:val="12906A11"/>
    <w:rsid w:val="14BD700D"/>
    <w:rsid w:val="165E725E"/>
    <w:rsid w:val="17157BE3"/>
    <w:rsid w:val="1A3A47FC"/>
    <w:rsid w:val="1AB50C16"/>
    <w:rsid w:val="1ABC3E93"/>
    <w:rsid w:val="1B1A1616"/>
    <w:rsid w:val="1B576C48"/>
    <w:rsid w:val="1C356FAF"/>
    <w:rsid w:val="1DEB3F1D"/>
    <w:rsid w:val="1F0661B3"/>
    <w:rsid w:val="1F086D63"/>
    <w:rsid w:val="1F2706B2"/>
    <w:rsid w:val="1F8B2DA0"/>
    <w:rsid w:val="218C0A16"/>
    <w:rsid w:val="259F7BC5"/>
    <w:rsid w:val="279F631D"/>
    <w:rsid w:val="30C2396E"/>
    <w:rsid w:val="31C049D1"/>
    <w:rsid w:val="3373125B"/>
    <w:rsid w:val="34202270"/>
    <w:rsid w:val="35917E1E"/>
    <w:rsid w:val="3832299B"/>
    <w:rsid w:val="39444141"/>
    <w:rsid w:val="3AE57279"/>
    <w:rsid w:val="3E590BA8"/>
    <w:rsid w:val="3F97225E"/>
    <w:rsid w:val="400770FF"/>
    <w:rsid w:val="40403FCE"/>
    <w:rsid w:val="40CA20EC"/>
    <w:rsid w:val="40F63E08"/>
    <w:rsid w:val="44C4026F"/>
    <w:rsid w:val="45321187"/>
    <w:rsid w:val="47510AB2"/>
    <w:rsid w:val="492D6E0D"/>
    <w:rsid w:val="4BDF193C"/>
    <w:rsid w:val="4BFA67CA"/>
    <w:rsid w:val="4CD11285"/>
    <w:rsid w:val="4D7E0E31"/>
    <w:rsid w:val="522650F7"/>
    <w:rsid w:val="554073E6"/>
    <w:rsid w:val="56A631EE"/>
    <w:rsid w:val="5844590A"/>
    <w:rsid w:val="59D25155"/>
    <w:rsid w:val="5E7677AB"/>
    <w:rsid w:val="5EB424E8"/>
    <w:rsid w:val="5F82113F"/>
    <w:rsid w:val="63BA7120"/>
    <w:rsid w:val="64E80CCE"/>
    <w:rsid w:val="67C92E65"/>
    <w:rsid w:val="6A5D1B16"/>
    <w:rsid w:val="6C567E17"/>
    <w:rsid w:val="6F600EEF"/>
    <w:rsid w:val="70F95631"/>
    <w:rsid w:val="7159605C"/>
    <w:rsid w:val="752E7B5E"/>
    <w:rsid w:val="75363458"/>
    <w:rsid w:val="75DE03EB"/>
    <w:rsid w:val="768371E5"/>
    <w:rsid w:val="76885B5A"/>
    <w:rsid w:val="76DB21E7"/>
    <w:rsid w:val="76F529B8"/>
    <w:rsid w:val="77801DD8"/>
    <w:rsid w:val="7807606D"/>
    <w:rsid w:val="787C5768"/>
    <w:rsid w:val="7906782B"/>
    <w:rsid w:val="7A3A6BA8"/>
    <w:rsid w:val="7B58479C"/>
    <w:rsid w:val="7C1A3F48"/>
    <w:rsid w:val="7C8A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6"/>
    <w:semiHidden/>
    <w:unhideWhenUsed/>
    <w:qFormat/>
    <w:uiPriority w:val="99"/>
    <w:pPr>
      <w:jc w:val="left"/>
    </w:pPr>
  </w:style>
  <w:style w:type="paragraph" w:styleId="8">
    <w:name w:val="Body Text"/>
    <w:basedOn w:val="1"/>
    <w:next w:val="1"/>
    <w:qFormat/>
    <w:uiPriority w:val="0"/>
    <w:pPr>
      <w:spacing w:after="120"/>
    </w:pPr>
  </w:style>
  <w:style w:type="paragraph" w:styleId="9">
    <w:name w:val="Plain Text"/>
    <w:basedOn w:val="1"/>
    <w:unhideWhenUsed/>
    <w:qFormat/>
    <w:uiPriority w:val="99"/>
    <w:rPr>
      <w:rFonts w:ascii="宋体" w:hAnsi="Courier New" w:cs="Courier New"/>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7"/>
    <w:next w:val="7"/>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4"/>
    <w:semiHidden/>
    <w:qFormat/>
    <w:uiPriority w:val="9"/>
    <w:rPr>
      <w:rFonts w:ascii="Times New Roman" w:hAnsi="Times New Roman" w:eastAsia="宋体" w:cs="Times New Roman"/>
      <w:b/>
      <w:bCs/>
      <w:sz w:val="32"/>
      <w:szCs w:val="32"/>
    </w:rPr>
  </w:style>
  <w:style w:type="character" w:customStyle="1" w:styleId="24">
    <w:name w:val="页眉 字符"/>
    <w:basedOn w:val="17"/>
    <w:link w:val="11"/>
    <w:qFormat/>
    <w:uiPriority w:val="99"/>
    <w:rPr>
      <w:rFonts w:ascii="Times New Roman" w:hAnsi="Times New Roman" w:eastAsia="宋体" w:cs="Times New Roman"/>
      <w:sz w:val="18"/>
      <w:szCs w:val="18"/>
    </w:rPr>
  </w:style>
  <w:style w:type="character" w:customStyle="1" w:styleId="25">
    <w:name w:val="页脚 字符"/>
    <w:basedOn w:val="17"/>
    <w:link w:val="10"/>
    <w:qFormat/>
    <w:uiPriority w:val="99"/>
    <w:rPr>
      <w:rFonts w:ascii="Times New Roman" w:hAnsi="Times New Roman" w:eastAsia="宋体" w:cs="Times New Roman"/>
      <w:sz w:val="18"/>
      <w:szCs w:val="18"/>
    </w:rPr>
  </w:style>
  <w:style w:type="character" w:customStyle="1" w:styleId="26">
    <w:name w:val="批注文字 字符"/>
    <w:basedOn w:val="17"/>
    <w:link w:val="7"/>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41"/>
    <w:basedOn w:val="17"/>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5629</Words>
  <Characters>5995</Characters>
  <Lines>64</Lines>
  <Paragraphs>18</Paragraphs>
  <TotalTime>3</TotalTime>
  <ScaleCrop>false</ScaleCrop>
  <LinksUpToDate>false</LinksUpToDate>
  <CharactersWithSpaces>6068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Dustin X</cp:lastModifiedBy>
  <dcterms:modified xsi:type="dcterms:W3CDTF">2026-05-22T07:22:37Z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328CAF1EDC374B55A5C3458ABB93BE73_13</vt:lpwstr>
  </property>
  <property fmtid="{D5CDD505-2E9C-101B-9397-08002B2CF9AE}" pid="4" name="KSOTemplateDocerSaveRecord">
    <vt:lpwstr>eyJoZGlkIjoiNGM3YTBjZDdmZDk3MGMyZGRkMWZiMWRkZTVjZmE1ZjIiLCJ1c2VySWQiOiI1NjIyMDQyMzkifQ==</vt:lpwstr>
  </property>
</Properties>
</file>