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041"/>
        <w:gridCol w:w="2066"/>
        <w:gridCol w:w="1161"/>
        <w:gridCol w:w="1297"/>
        <w:gridCol w:w="2720"/>
      </w:tblGrid>
      <w:tr w14:paraId="7B64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6C5A4E0D">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序号</w:t>
            </w:r>
          </w:p>
        </w:tc>
        <w:tc>
          <w:tcPr>
            <w:tcW w:w="2041" w:type="dxa"/>
            <w:tcBorders>
              <w:tl2br w:val="nil"/>
              <w:tr2bl w:val="nil"/>
            </w:tcBorders>
            <w:shd w:val="clear" w:color="auto" w:fill="auto"/>
            <w:vAlign w:val="center"/>
          </w:tcPr>
          <w:p w14:paraId="5F714673">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rPr>
            </w:pPr>
            <w:r>
              <w:rPr>
                <w:rFonts w:hint="eastAsia" w:cs="宋体"/>
                <w:b/>
                <w:bCs/>
                <w:lang w:bidi="ar"/>
              </w:rPr>
              <w:t>项目名称</w:t>
            </w:r>
          </w:p>
        </w:tc>
        <w:tc>
          <w:tcPr>
            <w:tcW w:w="2066" w:type="dxa"/>
            <w:tcBorders>
              <w:tl2br w:val="nil"/>
              <w:tr2bl w:val="nil"/>
            </w:tcBorders>
            <w:shd w:val="clear" w:color="auto" w:fill="auto"/>
            <w:vAlign w:val="center"/>
          </w:tcPr>
          <w:p w14:paraId="17A8A231">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rPr>
            </w:pPr>
            <w:r>
              <w:rPr>
                <w:rFonts w:hint="eastAsia" w:cs="宋体"/>
                <w:b/>
                <w:bCs/>
                <w:lang w:bidi="ar"/>
              </w:rPr>
              <w:t>耗材名称</w:t>
            </w:r>
          </w:p>
        </w:tc>
        <w:tc>
          <w:tcPr>
            <w:tcW w:w="1161" w:type="dxa"/>
            <w:tcBorders>
              <w:tl2br w:val="nil"/>
              <w:tr2bl w:val="nil"/>
            </w:tcBorders>
            <w:shd w:val="clear" w:color="auto" w:fill="auto"/>
            <w:vAlign w:val="center"/>
          </w:tcPr>
          <w:p w14:paraId="0FAD3969">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hint="eastAsia" w:cs="宋体"/>
                <w:b/>
                <w:bCs/>
                <w:lang w:bidi="ar"/>
              </w:rPr>
            </w:pPr>
            <w:r>
              <w:rPr>
                <w:rFonts w:hint="eastAsia" w:cs="宋体"/>
                <w:b/>
                <w:bCs/>
                <w:lang w:bidi="ar"/>
              </w:rPr>
              <w:t>规格</w:t>
            </w:r>
          </w:p>
          <w:p w14:paraId="3B62E14E">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型号</w:t>
            </w:r>
          </w:p>
        </w:tc>
        <w:tc>
          <w:tcPr>
            <w:tcW w:w="1297" w:type="dxa"/>
            <w:tcBorders>
              <w:tl2br w:val="nil"/>
              <w:tr2bl w:val="nil"/>
            </w:tcBorders>
            <w:shd w:val="clear" w:color="auto" w:fill="auto"/>
            <w:vAlign w:val="center"/>
          </w:tcPr>
          <w:p w14:paraId="5B6A4D51">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lang w:bidi="ar"/>
              </w:rPr>
            </w:pPr>
            <w:r>
              <w:rPr>
                <w:rFonts w:hint="eastAsia" w:cs="宋体"/>
                <w:b/>
                <w:bCs/>
                <w:lang w:bidi="ar"/>
              </w:rPr>
              <w:t>预算</w:t>
            </w:r>
          </w:p>
          <w:p w14:paraId="1825106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单价</w:t>
            </w:r>
          </w:p>
        </w:tc>
        <w:tc>
          <w:tcPr>
            <w:tcW w:w="2720" w:type="dxa"/>
            <w:tcBorders>
              <w:tl2br w:val="nil"/>
              <w:tr2bl w:val="nil"/>
            </w:tcBorders>
            <w:shd w:val="clear" w:color="auto" w:fill="auto"/>
            <w:vAlign w:val="center"/>
          </w:tcPr>
          <w:p w14:paraId="60F3933D">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center"/>
              <w:rPr>
                <w:rFonts w:cs="宋体"/>
                <w:b/>
                <w:bCs/>
              </w:rPr>
            </w:pPr>
            <w:r>
              <w:rPr>
                <w:rFonts w:hint="eastAsia" w:cs="宋体"/>
                <w:b/>
                <w:bCs/>
                <w:lang w:bidi="ar"/>
              </w:rPr>
              <w:t>用途</w:t>
            </w:r>
          </w:p>
        </w:tc>
      </w:tr>
      <w:tr w14:paraId="770A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309DEBE2">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sz w:val="22"/>
                <w:szCs w:val="22"/>
                <w:lang w:bidi="ar"/>
              </w:rPr>
            </w:pPr>
          </w:p>
        </w:tc>
        <w:tc>
          <w:tcPr>
            <w:tcW w:w="2041" w:type="dxa"/>
            <w:tcBorders>
              <w:tl2br w:val="nil"/>
              <w:tr2bl w:val="nil"/>
            </w:tcBorders>
            <w:shd w:val="clear" w:color="auto" w:fill="auto"/>
            <w:vAlign w:val="center"/>
          </w:tcPr>
          <w:p w14:paraId="356F0E66">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sz w:val="22"/>
                <w:szCs w:val="22"/>
                <w:lang w:bidi="ar"/>
              </w:rPr>
            </w:pPr>
            <w:r>
              <w:rPr>
                <w:rFonts w:hint="eastAsia"/>
                <w:sz w:val="22"/>
                <w:szCs w:val="22"/>
              </w:rPr>
              <w:t>生物可吸收性涂层疝补片及固定系统</w:t>
            </w:r>
          </w:p>
        </w:tc>
        <w:tc>
          <w:tcPr>
            <w:tcW w:w="2066" w:type="dxa"/>
            <w:tcBorders>
              <w:tl2br w:val="nil"/>
              <w:tr2bl w:val="nil"/>
            </w:tcBorders>
            <w:shd w:val="clear" w:color="auto" w:fill="auto"/>
            <w:vAlign w:val="center"/>
          </w:tcPr>
          <w:p w14:paraId="00883BF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sz w:val="22"/>
                <w:szCs w:val="22"/>
                <w:lang w:bidi="ar"/>
              </w:rPr>
            </w:pPr>
            <w:r>
              <w:rPr>
                <w:rFonts w:hint="eastAsia"/>
                <w:sz w:val="22"/>
                <w:szCs w:val="22"/>
              </w:rPr>
              <w:t>生物可吸收性涂层疝补片及固定系统</w:t>
            </w:r>
          </w:p>
        </w:tc>
        <w:tc>
          <w:tcPr>
            <w:tcW w:w="1161" w:type="dxa"/>
            <w:tcBorders>
              <w:tl2br w:val="nil"/>
              <w:tr2bl w:val="nil"/>
            </w:tcBorders>
            <w:shd w:val="clear" w:color="auto" w:fill="auto"/>
            <w:vAlign w:val="center"/>
          </w:tcPr>
          <w:p w14:paraId="0571559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67EC3F3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sz w:val="22"/>
                <w:szCs w:val="22"/>
                <w:lang w:bidi="ar"/>
              </w:rPr>
            </w:pPr>
            <w:r>
              <w:rPr>
                <w:rFonts w:hint="eastAsia"/>
                <w:sz w:val="22"/>
                <w:szCs w:val="22"/>
              </w:rPr>
              <w:t>14250元/片</w:t>
            </w:r>
          </w:p>
        </w:tc>
        <w:tc>
          <w:tcPr>
            <w:tcW w:w="2720" w:type="dxa"/>
            <w:tcBorders>
              <w:tl2br w:val="nil"/>
              <w:tr2bl w:val="nil"/>
            </w:tcBorders>
            <w:shd w:val="clear" w:color="auto" w:fill="auto"/>
            <w:vAlign w:val="center"/>
          </w:tcPr>
          <w:p w14:paraId="6D4123E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sz w:val="22"/>
                <w:szCs w:val="22"/>
                <w:lang w:bidi="ar"/>
              </w:rPr>
            </w:pPr>
            <w:r>
              <w:rPr>
                <w:rFonts w:hint="eastAsia"/>
                <w:sz w:val="22"/>
                <w:szCs w:val="22"/>
              </w:rPr>
              <w:t>适用于腹腔内腹壁疝的修补</w:t>
            </w:r>
          </w:p>
        </w:tc>
      </w:tr>
      <w:tr w14:paraId="10BE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669C81E1">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1D2F7FF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Film封片机胶带</w:t>
            </w:r>
          </w:p>
        </w:tc>
        <w:tc>
          <w:tcPr>
            <w:tcW w:w="2066" w:type="dxa"/>
            <w:tcBorders>
              <w:tl2br w:val="nil"/>
              <w:tr2bl w:val="nil"/>
            </w:tcBorders>
            <w:shd w:val="clear" w:color="auto" w:fill="auto"/>
            <w:vAlign w:val="center"/>
          </w:tcPr>
          <w:p w14:paraId="424CD76F">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Film封片机胶带</w:t>
            </w:r>
          </w:p>
        </w:tc>
        <w:tc>
          <w:tcPr>
            <w:tcW w:w="1161" w:type="dxa"/>
            <w:tcBorders>
              <w:tl2br w:val="nil"/>
              <w:tr2bl w:val="nil"/>
            </w:tcBorders>
            <w:shd w:val="clear" w:color="auto" w:fill="auto"/>
            <w:vAlign w:val="center"/>
          </w:tcPr>
          <w:p w14:paraId="18F199B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各规格型号</w:t>
            </w:r>
          </w:p>
        </w:tc>
        <w:tc>
          <w:tcPr>
            <w:tcW w:w="1297" w:type="dxa"/>
            <w:tcBorders>
              <w:tl2br w:val="nil"/>
              <w:tr2bl w:val="nil"/>
            </w:tcBorders>
            <w:shd w:val="clear" w:color="auto" w:fill="auto"/>
            <w:vAlign w:val="center"/>
          </w:tcPr>
          <w:p w14:paraId="07A2B389">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sz w:val="22"/>
                <w:szCs w:val="22"/>
                <w:lang w:bidi="ar"/>
              </w:rPr>
            </w:pPr>
            <w:r>
              <w:rPr>
                <w:rFonts w:hint="eastAsia"/>
                <w:sz w:val="22"/>
                <w:szCs w:val="22"/>
              </w:rPr>
              <w:t>850元/卷</w:t>
            </w:r>
          </w:p>
        </w:tc>
        <w:tc>
          <w:tcPr>
            <w:tcW w:w="2720" w:type="dxa"/>
            <w:tcBorders>
              <w:tl2br w:val="nil"/>
              <w:tr2bl w:val="nil"/>
            </w:tcBorders>
            <w:shd w:val="clear" w:color="auto" w:fill="auto"/>
            <w:vAlign w:val="center"/>
          </w:tcPr>
          <w:p w14:paraId="07CE4F23">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sz w:val="22"/>
                <w:szCs w:val="22"/>
                <w:lang w:bidi="ar"/>
              </w:rPr>
            </w:pPr>
            <w:r>
              <w:rPr>
                <w:rFonts w:hint="eastAsia"/>
                <w:sz w:val="22"/>
                <w:szCs w:val="22"/>
              </w:rPr>
              <w:t>与樱花染色封片一体机配套使用</w:t>
            </w:r>
          </w:p>
        </w:tc>
      </w:tr>
      <w:tr w14:paraId="65F8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7CFF3888">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6628A1B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金属骨针</w:t>
            </w:r>
          </w:p>
        </w:tc>
        <w:tc>
          <w:tcPr>
            <w:tcW w:w="2066" w:type="dxa"/>
            <w:tcBorders>
              <w:tl2br w:val="nil"/>
              <w:tr2bl w:val="nil"/>
            </w:tcBorders>
            <w:shd w:val="clear" w:color="auto" w:fill="auto"/>
            <w:vAlign w:val="center"/>
          </w:tcPr>
          <w:p w14:paraId="3FD07099">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金属骨针</w:t>
            </w:r>
          </w:p>
        </w:tc>
        <w:tc>
          <w:tcPr>
            <w:tcW w:w="1161" w:type="dxa"/>
            <w:tcBorders>
              <w:tl2br w:val="nil"/>
              <w:tr2bl w:val="nil"/>
            </w:tcBorders>
            <w:shd w:val="clear" w:color="auto" w:fill="auto"/>
            <w:vAlign w:val="center"/>
          </w:tcPr>
          <w:p w14:paraId="3A7C813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5576CAF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800元/根</w:t>
            </w:r>
          </w:p>
        </w:tc>
        <w:tc>
          <w:tcPr>
            <w:tcW w:w="2720" w:type="dxa"/>
            <w:tcBorders>
              <w:tl2br w:val="nil"/>
              <w:tr2bl w:val="nil"/>
            </w:tcBorders>
            <w:shd w:val="clear" w:color="auto" w:fill="auto"/>
            <w:vAlign w:val="center"/>
          </w:tcPr>
          <w:p w14:paraId="49553C59">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适用于四肢骨折内固定。</w:t>
            </w:r>
          </w:p>
        </w:tc>
      </w:tr>
      <w:tr w14:paraId="2A78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1BCC7736">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0E0610B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一次性使用可视喉镜窥视片</w:t>
            </w:r>
          </w:p>
        </w:tc>
        <w:tc>
          <w:tcPr>
            <w:tcW w:w="2066" w:type="dxa"/>
            <w:tcBorders>
              <w:tl2br w:val="nil"/>
              <w:tr2bl w:val="nil"/>
            </w:tcBorders>
            <w:shd w:val="clear" w:color="auto" w:fill="auto"/>
            <w:vAlign w:val="center"/>
          </w:tcPr>
          <w:p w14:paraId="19BCC60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一次性使用可视喉镜窥视片</w:t>
            </w:r>
          </w:p>
        </w:tc>
        <w:tc>
          <w:tcPr>
            <w:tcW w:w="1161" w:type="dxa"/>
            <w:tcBorders>
              <w:tl2br w:val="nil"/>
              <w:tr2bl w:val="nil"/>
            </w:tcBorders>
            <w:shd w:val="clear" w:color="auto" w:fill="auto"/>
            <w:vAlign w:val="center"/>
          </w:tcPr>
          <w:p w14:paraId="7A05CA3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4B2A96D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48元/片</w:t>
            </w:r>
          </w:p>
        </w:tc>
        <w:tc>
          <w:tcPr>
            <w:tcW w:w="2720" w:type="dxa"/>
            <w:tcBorders>
              <w:tl2br w:val="nil"/>
              <w:tr2bl w:val="nil"/>
            </w:tcBorders>
            <w:shd w:val="clear" w:color="auto" w:fill="auto"/>
            <w:vAlign w:val="center"/>
          </w:tcPr>
          <w:p w14:paraId="3BEA66D7">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配套因赛德思可视喉镜使用</w:t>
            </w:r>
          </w:p>
        </w:tc>
      </w:tr>
      <w:tr w14:paraId="53CF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5BE48A4D">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699AA0D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隔离透声膜</w:t>
            </w:r>
          </w:p>
        </w:tc>
        <w:tc>
          <w:tcPr>
            <w:tcW w:w="2066" w:type="dxa"/>
            <w:tcBorders>
              <w:tl2br w:val="nil"/>
              <w:tr2bl w:val="nil"/>
            </w:tcBorders>
            <w:shd w:val="clear" w:color="auto" w:fill="auto"/>
            <w:vAlign w:val="center"/>
          </w:tcPr>
          <w:p w14:paraId="6C19FF8C">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隔离透声膜</w:t>
            </w:r>
          </w:p>
        </w:tc>
        <w:tc>
          <w:tcPr>
            <w:tcW w:w="1161" w:type="dxa"/>
            <w:tcBorders>
              <w:tl2br w:val="nil"/>
              <w:tr2bl w:val="nil"/>
            </w:tcBorders>
            <w:shd w:val="clear" w:color="auto" w:fill="auto"/>
            <w:vAlign w:val="center"/>
          </w:tcPr>
          <w:p w14:paraId="3C6D7FB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各规格型号</w:t>
            </w:r>
          </w:p>
        </w:tc>
        <w:tc>
          <w:tcPr>
            <w:tcW w:w="1297" w:type="dxa"/>
            <w:tcBorders>
              <w:tl2br w:val="nil"/>
              <w:tr2bl w:val="nil"/>
            </w:tcBorders>
            <w:shd w:val="clear" w:color="auto" w:fill="auto"/>
            <w:vAlign w:val="center"/>
          </w:tcPr>
          <w:p w14:paraId="4FC97203">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0.9元/个</w:t>
            </w:r>
          </w:p>
        </w:tc>
        <w:tc>
          <w:tcPr>
            <w:tcW w:w="2720" w:type="dxa"/>
            <w:tcBorders>
              <w:tl2br w:val="nil"/>
              <w:tr2bl w:val="nil"/>
            </w:tcBorders>
            <w:shd w:val="clear" w:color="auto" w:fill="auto"/>
            <w:vAlign w:val="center"/>
          </w:tcPr>
          <w:p w14:paraId="7E27B175">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供临床体表超声检查时装在探头上，避免探头与人体皮肤接触，防止交叉感染</w:t>
            </w:r>
          </w:p>
        </w:tc>
      </w:tr>
      <w:tr w14:paraId="3AB5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648EB1CC">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5147BF5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骨科椎体成形非集采耗材</w:t>
            </w:r>
          </w:p>
        </w:tc>
        <w:tc>
          <w:tcPr>
            <w:tcW w:w="2066" w:type="dxa"/>
            <w:tcBorders>
              <w:tl2br w:val="nil"/>
              <w:tr2bl w:val="nil"/>
            </w:tcBorders>
            <w:shd w:val="clear" w:color="auto" w:fill="auto"/>
            <w:vAlign w:val="center"/>
          </w:tcPr>
          <w:p w14:paraId="488368F5">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骨科椎体成形非集采耗材</w:t>
            </w:r>
          </w:p>
        </w:tc>
        <w:tc>
          <w:tcPr>
            <w:tcW w:w="1161" w:type="dxa"/>
            <w:tcBorders>
              <w:tl2br w:val="nil"/>
              <w:tr2bl w:val="nil"/>
            </w:tcBorders>
            <w:shd w:val="clear" w:color="auto" w:fill="auto"/>
            <w:vAlign w:val="center"/>
          </w:tcPr>
          <w:p w14:paraId="745E535F">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61B1519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9981元/盒</w:t>
            </w:r>
          </w:p>
        </w:tc>
        <w:tc>
          <w:tcPr>
            <w:tcW w:w="2720" w:type="dxa"/>
            <w:tcBorders>
              <w:tl2br w:val="nil"/>
              <w:tr2bl w:val="nil"/>
            </w:tcBorders>
            <w:shd w:val="clear" w:color="auto" w:fill="auto"/>
            <w:vAlign w:val="center"/>
          </w:tcPr>
          <w:p w14:paraId="6A939486">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用于治疗椎体肿瘤、骨质疏松或创伤引起的下胸椎和腰椎部位的椎体压缩性骨折。</w:t>
            </w:r>
          </w:p>
        </w:tc>
      </w:tr>
      <w:tr w14:paraId="3BEF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6882BEFE">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7AE61101">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类人胶原蛋白敷料</w:t>
            </w:r>
          </w:p>
        </w:tc>
        <w:tc>
          <w:tcPr>
            <w:tcW w:w="2066" w:type="dxa"/>
            <w:tcBorders>
              <w:tl2br w:val="nil"/>
              <w:tr2bl w:val="nil"/>
            </w:tcBorders>
            <w:shd w:val="clear" w:color="auto" w:fill="auto"/>
            <w:vAlign w:val="center"/>
          </w:tcPr>
          <w:p w14:paraId="6727416E">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类人胶原蛋白敷料</w:t>
            </w:r>
          </w:p>
        </w:tc>
        <w:tc>
          <w:tcPr>
            <w:tcW w:w="1161" w:type="dxa"/>
            <w:tcBorders>
              <w:tl2br w:val="nil"/>
              <w:tr2bl w:val="nil"/>
            </w:tcBorders>
            <w:shd w:val="clear" w:color="auto" w:fill="auto"/>
            <w:vAlign w:val="center"/>
          </w:tcPr>
          <w:p w14:paraId="680612B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4C08FD0D">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25元/片</w:t>
            </w:r>
          </w:p>
        </w:tc>
        <w:tc>
          <w:tcPr>
            <w:tcW w:w="2720" w:type="dxa"/>
            <w:tcBorders>
              <w:tl2br w:val="nil"/>
              <w:tr2bl w:val="nil"/>
            </w:tcBorders>
            <w:shd w:val="clear" w:color="auto" w:fill="auto"/>
            <w:vAlign w:val="center"/>
          </w:tcPr>
          <w:p w14:paraId="0FE0BE42">
            <w:pPr>
              <w:keepNext w:val="0"/>
              <w:keepLines w:val="0"/>
              <w:pageBreakBefore w:val="0"/>
              <w:kinsoku/>
              <w:wordWrap/>
              <w:overflowPunct/>
              <w:topLinePunct w:val="0"/>
              <w:autoSpaceDE/>
              <w:autoSpaceDN/>
              <w:bidi w:val="0"/>
              <w:adjustRightInd/>
              <w:snapToGrid/>
              <w:spacing w:line="240" w:lineRule="auto"/>
              <w:ind w:left="0" w:firstLine="0" w:firstLineChars="0"/>
              <w:jc w:val="both"/>
              <w:rPr>
                <w:rFonts w:cs="宋体"/>
                <w:b/>
                <w:bCs/>
                <w:lang w:bidi="ar"/>
              </w:rPr>
            </w:pPr>
            <w:r>
              <w:rPr>
                <w:rFonts w:hint="eastAsia"/>
                <w:sz w:val="22"/>
                <w:szCs w:val="22"/>
              </w:rPr>
              <w:t>由类人胶原蛋白原液（含有少量医用防腐剂和少量医用矫味剂）和无纺布组成。用于提供激光治疗术后创面的愈合环境，抑制和缓解皮肤炎症(寻常性痤疮、皮炎、敏感性肌肤等)反应，促进创面愈合，减轻炎症后色素沉着与瘢痕形成的风险。</w:t>
            </w:r>
          </w:p>
        </w:tc>
      </w:tr>
      <w:tr w14:paraId="7943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71A66640">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17AD9EF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一次性使用高压造影注射器及附件</w:t>
            </w:r>
          </w:p>
        </w:tc>
        <w:tc>
          <w:tcPr>
            <w:tcW w:w="2066" w:type="dxa"/>
            <w:tcBorders>
              <w:tl2br w:val="nil"/>
              <w:tr2bl w:val="nil"/>
            </w:tcBorders>
            <w:shd w:val="clear" w:color="auto" w:fill="auto"/>
            <w:vAlign w:val="center"/>
          </w:tcPr>
          <w:p w14:paraId="7AB7101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一次性使用高压造影注射器及附件</w:t>
            </w:r>
          </w:p>
        </w:tc>
        <w:tc>
          <w:tcPr>
            <w:tcW w:w="1161" w:type="dxa"/>
            <w:tcBorders>
              <w:tl2br w:val="nil"/>
              <w:tr2bl w:val="nil"/>
            </w:tcBorders>
            <w:shd w:val="clear" w:color="auto" w:fill="auto"/>
            <w:vAlign w:val="center"/>
          </w:tcPr>
          <w:p w14:paraId="5BF01C77">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w:t>
            </w:r>
          </w:p>
        </w:tc>
        <w:tc>
          <w:tcPr>
            <w:tcW w:w="1297" w:type="dxa"/>
            <w:tcBorders>
              <w:tl2br w:val="nil"/>
              <w:tr2bl w:val="nil"/>
            </w:tcBorders>
            <w:shd w:val="clear" w:color="auto" w:fill="auto"/>
            <w:vAlign w:val="center"/>
          </w:tcPr>
          <w:p w14:paraId="2580D560">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49.8元/套</w:t>
            </w:r>
          </w:p>
        </w:tc>
        <w:tc>
          <w:tcPr>
            <w:tcW w:w="2720" w:type="dxa"/>
            <w:tcBorders>
              <w:tl2br w:val="nil"/>
              <w:tr2bl w:val="nil"/>
            </w:tcBorders>
            <w:shd w:val="clear" w:color="auto" w:fill="auto"/>
            <w:vAlign w:val="center"/>
          </w:tcPr>
          <w:p w14:paraId="5A869D0A">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需能匹配院内MEDTRON品牌Accutron HP型号容量200ml、单筒注射器使用。</w:t>
            </w:r>
          </w:p>
        </w:tc>
      </w:tr>
      <w:tr w14:paraId="1421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l2br w:val="nil"/>
              <w:tr2bl w:val="nil"/>
            </w:tcBorders>
            <w:shd w:val="clear" w:color="auto" w:fill="auto"/>
            <w:vAlign w:val="center"/>
          </w:tcPr>
          <w:p w14:paraId="2A05C38B">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firstLine="0" w:firstLineChars="0"/>
              <w:jc w:val="center"/>
              <w:textAlignment w:val="center"/>
              <w:rPr>
                <w:rFonts w:cs="宋体"/>
                <w:lang w:bidi="ar"/>
              </w:rPr>
            </w:pPr>
          </w:p>
        </w:tc>
        <w:tc>
          <w:tcPr>
            <w:tcW w:w="2041" w:type="dxa"/>
            <w:tcBorders>
              <w:tl2br w:val="nil"/>
              <w:tr2bl w:val="nil"/>
            </w:tcBorders>
            <w:shd w:val="clear" w:color="auto" w:fill="auto"/>
            <w:vAlign w:val="center"/>
          </w:tcPr>
          <w:p w14:paraId="3A2B765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神经检测耗材</w:t>
            </w:r>
          </w:p>
        </w:tc>
        <w:tc>
          <w:tcPr>
            <w:tcW w:w="2066" w:type="dxa"/>
            <w:tcBorders>
              <w:tl2br w:val="nil"/>
              <w:tr2bl w:val="nil"/>
            </w:tcBorders>
            <w:shd w:val="clear" w:color="auto" w:fill="auto"/>
            <w:vAlign w:val="center"/>
          </w:tcPr>
          <w:p w14:paraId="30681FC8">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神经检测耗材</w:t>
            </w:r>
          </w:p>
        </w:tc>
        <w:tc>
          <w:tcPr>
            <w:tcW w:w="1161" w:type="dxa"/>
            <w:tcBorders>
              <w:tl2br w:val="nil"/>
              <w:tr2bl w:val="nil"/>
            </w:tcBorders>
            <w:shd w:val="clear" w:color="auto" w:fill="auto"/>
            <w:vAlign w:val="center"/>
          </w:tcPr>
          <w:p w14:paraId="25980144">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hint="eastAsia"/>
                <w:sz w:val="22"/>
                <w:szCs w:val="22"/>
              </w:rPr>
            </w:pPr>
            <w:r>
              <w:rPr>
                <w:rFonts w:hint="eastAsia"/>
                <w:sz w:val="22"/>
                <w:szCs w:val="22"/>
              </w:rPr>
              <w:t>各规格型号</w:t>
            </w:r>
          </w:p>
        </w:tc>
        <w:tc>
          <w:tcPr>
            <w:tcW w:w="1297" w:type="dxa"/>
            <w:tcBorders>
              <w:tl2br w:val="nil"/>
              <w:tr2bl w:val="nil"/>
            </w:tcBorders>
            <w:shd w:val="clear" w:color="auto" w:fill="auto"/>
            <w:vAlign w:val="center"/>
          </w:tcPr>
          <w:p w14:paraId="53755DBA">
            <w:pPr>
              <w:keepNext w:val="0"/>
              <w:keepLines w:val="0"/>
              <w:pageBreakBefore w:val="0"/>
              <w:widowControl/>
              <w:kinsoku/>
              <w:wordWrap/>
              <w:overflowPunct/>
              <w:topLinePunct w:val="0"/>
              <w:autoSpaceDE/>
              <w:autoSpaceDN/>
              <w:bidi w:val="0"/>
              <w:adjustRightInd/>
              <w:snapToGrid/>
              <w:spacing w:line="240" w:lineRule="auto"/>
              <w:ind w:left="0" w:firstLine="0" w:firstLineChars="0"/>
              <w:textAlignment w:val="center"/>
              <w:rPr>
                <w:rFonts w:cs="宋体"/>
                <w:b/>
                <w:bCs/>
                <w:lang w:bidi="ar"/>
              </w:rPr>
            </w:pPr>
            <w:r>
              <w:rPr>
                <w:rFonts w:hint="eastAsia"/>
                <w:sz w:val="22"/>
                <w:szCs w:val="22"/>
              </w:rPr>
              <w:t>360元/根</w:t>
            </w:r>
          </w:p>
        </w:tc>
        <w:tc>
          <w:tcPr>
            <w:tcW w:w="2720" w:type="dxa"/>
            <w:tcBorders>
              <w:tl2br w:val="nil"/>
              <w:tr2bl w:val="nil"/>
            </w:tcBorders>
            <w:shd w:val="clear" w:color="auto" w:fill="auto"/>
            <w:vAlign w:val="center"/>
          </w:tcPr>
          <w:p w14:paraId="5899821C">
            <w:pPr>
              <w:keepNext w:val="0"/>
              <w:keepLines w:val="0"/>
              <w:pageBreakBefore w:val="0"/>
              <w:widowControl/>
              <w:kinsoku/>
              <w:wordWrap/>
              <w:overflowPunct/>
              <w:topLinePunct w:val="0"/>
              <w:autoSpaceDE/>
              <w:autoSpaceDN/>
              <w:bidi w:val="0"/>
              <w:adjustRightInd/>
              <w:snapToGrid/>
              <w:spacing w:line="240" w:lineRule="auto"/>
              <w:ind w:left="0" w:firstLine="0" w:firstLineChars="0"/>
              <w:jc w:val="both"/>
              <w:textAlignment w:val="center"/>
              <w:rPr>
                <w:rFonts w:cs="宋体"/>
                <w:b/>
                <w:bCs/>
                <w:lang w:bidi="ar"/>
              </w:rPr>
            </w:pPr>
            <w:r>
              <w:rPr>
                <w:rFonts w:hint="eastAsia"/>
                <w:sz w:val="22"/>
                <w:szCs w:val="22"/>
              </w:rPr>
              <w:t>与美敦力脊柱术中神经监护系统配套使用</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28037687"/>
      <w:bookmarkStart w:id="5" w:name="_Toc7846"/>
      <w:bookmarkStart w:id="6" w:name="_Toc15839"/>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18878971"/>
      <w:bookmarkStart w:id="12" w:name="_Toc374439153"/>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ind w:left="0" w:leftChars="0" w:firstLine="0" w:firstLineChars="0"/>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non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ind w:left="0" w:leftChars="0" w:firstLine="0" w:firstLineChars="0"/>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ind w:left="0" w:leftChars="0" w:firstLine="0" w:firstLineChars="0"/>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none"/>
              </w:rPr>
              <w:t xml:space="preserve">                          </w:t>
            </w: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both"/>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128037690"/>
      <w:bookmarkStart w:id="15" w:name="_Toc7744"/>
      <w:bookmarkStart w:id="16" w:name="_Toc109889664"/>
      <w:bookmarkStart w:id="17" w:name="_Toc22203"/>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28037691"/>
      <w:bookmarkStart w:id="19" w:name="_Toc31500"/>
      <w:bookmarkStart w:id="20" w:name="_Toc109889665"/>
      <w:bookmarkStart w:id="21" w:name="_Toc27475"/>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28037692"/>
            <w:bookmarkStart w:id="23" w:name="_Toc17048"/>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22414"/>
      <w:bookmarkStart w:id="26" w:name="_Toc128037693"/>
      <w:bookmarkStart w:id="27" w:name="_Toc1929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09889666"/>
      <w:bookmarkStart w:id="29" w:name="_Toc128037694"/>
      <w:bookmarkStart w:id="30" w:name="_Toc31367"/>
      <w:bookmarkStart w:id="31" w:name="_Toc1381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28037695"/>
      <w:bookmarkStart w:id="33" w:name="_Toc15845"/>
      <w:bookmarkStart w:id="34" w:name="_Toc5497"/>
      <w:bookmarkStart w:id="35" w:name="_Toc10988966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31932"/>
      <w:bookmarkStart w:id="38" w:name="_Toc5403"/>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28037698"/>
      <w:bookmarkStart w:id="46" w:name="_Toc30122"/>
      <w:bookmarkStart w:id="47" w:name="_Toc19006"/>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5029"/>
      <w:bookmarkStart w:id="50" w:name="_Toc128037699"/>
      <w:bookmarkStart w:id="51" w:name="_Toc2074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25952"/>
      <w:bookmarkStart w:id="58" w:name="_Toc128037701"/>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28037702"/>
      <w:bookmarkStart w:id="62" w:name="_Toc10610"/>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128037704"/>
      <w:bookmarkStart w:id="69" w:name="_Toc29976"/>
      <w:bookmarkStart w:id="70" w:name="_Toc5063"/>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4F3C00"/>
    <w:multiLevelType w:val="singleLevel"/>
    <w:tmpl w:val="1F4F3C00"/>
    <w:lvl w:ilvl="0" w:tentative="0">
      <w:start w:val="1"/>
      <w:numFmt w:val="decimal"/>
      <w:suff w:val="nothing"/>
      <w:lvlText w:val="%1"/>
      <w:lvlJc w:val="left"/>
      <w:pPr>
        <w:ind w:left="425" w:hanging="425"/>
      </w:pPr>
      <w:rPr>
        <w:rFonts w:hint="default"/>
      </w:rPr>
    </w:lvl>
  </w:abstractNum>
  <w:abstractNum w:abstractNumId="4">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54C53C8"/>
    <w:rsid w:val="05D61534"/>
    <w:rsid w:val="08611038"/>
    <w:rsid w:val="09D3712A"/>
    <w:rsid w:val="0BAE2341"/>
    <w:rsid w:val="0BCD77A2"/>
    <w:rsid w:val="0BF578FB"/>
    <w:rsid w:val="0C285F33"/>
    <w:rsid w:val="0D214903"/>
    <w:rsid w:val="0EBC732C"/>
    <w:rsid w:val="16143AE9"/>
    <w:rsid w:val="18746AF7"/>
    <w:rsid w:val="19594434"/>
    <w:rsid w:val="19930E05"/>
    <w:rsid w:val="20CC1238"/>
    <w:rsid w:val="229D303B"/>
    <w:rsid w:val="2610794F"/>
    <w:rsid w:val="2E960B5C"/>
    <w:rsid w:val="30102D85"/>
    <w:rsid w:val="33A64C38"/>
    <w:rsid w:val="33C44EDE"/>
    <w:rsid w:val="3511361D"/>
    <w:rsid w:val="35A10B8C"/>
    <w:rsid w:val="373F1D0A"/>
    <w:rsid w:val="39BC402B"/>
    <w:rsid w:val="39F74F62"/>
    <w:rsid w:val="3C8D18CF"/>
    <w:rsid w:val="3CC30927"/>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9076</Words>
  <Characters>9258</Characters>
  <Lines>0</Lines>
  <Paragraphs>0</Paragraphs>
  <TotalTime>0</TotalTime>
  <ScaleCrop>false</ScaleCrop>
  <LinksUpToDate>false</LinksUpToDate>
  <CharactersWithSpaces>9418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2026-10-26T02:37:55Z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