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80"/>
          <w:tab w:val="left" w:pos="7920"/>
        </w:tabs>
        <w:spacing w:line="240" w:lineRule="exact"/>
        <w:rPr>
          <w:rFonts w:ascii="黑体" w:hAnsi="黑体" w:eastAsia="黑体"/>
          <w:sz w:val="32"/>
          <w:szCs w:val="32"/>
        </w:rPr>
      </w:pPr>
    </w:p>
    <w:p>
      <w:pPr>
        <w:pStyle w:val="5"/>
        <w:tabs>
          <w:tab w:val="left" w:pos="450"/>
        </w:tabs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医疗器械临床试验方案范本</w:t>
      </w:r>
    </w:p>
    <w:p>
      <w:pPr>
        <w:pStyle w:val="7"/>
        <w:ind w:left="1020" w:hanging="600"/>
        <w:rPr>
          <w:rFonts w:ascii="宋体" w:eastAsia="宋体"/>
        </w:rPr>
      </w:pPr>
    </w:p>
    <w:p>
      <w:pPr>
        <w:pStyle w:val="7"/>
        <w:ind w:left="1020" w:hanging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方案编号：</w:t>
      </w:r>
    </w:p>
    <w:p>
      <w:pPr>
        <w:pStyle w:val="6"/>
        <w:spacing w:before="156" w:after="156"/>
        <w:ind w:firstLine="2949" w:firstLineChars="7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50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临床试验方案</w:t>
      </w:r>
    </w:p>
    <w:p>
      <w:pPr>
        <w:spacing w:before="50" w:after="50"/>
        <w:rPr>
          <w:rFonts w:ascii="宋体"/>
          <w:sz w:val="24"/>
        </w:rPr>
      </w:pPr>
    </w:p>
    <w:p>
      <w:pPr>
        <w:pStyle w:val="6"/>
        <w:spacing w:before="156" w:after="156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试验医疗器械名称：</w:t>
      </w:r>
    </w:p>
    <w:p>
      <w:pPr>
        <w:pStyle w:val="7"/>
        <w:ind w:left="980" w:hanging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型号规格：</w:t>
      </w:r>
    </w:p>
    <w:p>
      <w:pPr>
        <w:pStyle w:val="7"/>
        <w:ind w:left="980" w:hanging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需进行临床试验审批的第三类医疗器械  是□  否□</w:t>
      </w:r>
    </w:p>
    <w:p>
      <w:pPr>
        <w:pStyle w:val="7"/>
        <w:ind w:left="980" w:hanging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方案版本号和日期：</w:t>
      </w:r>
    </w:p>
    <w:p>
      <w:pPr>
        <w:pStyle w:val="7"/>
        <w:ind w:left="980" w:hanging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临床试验机构：</w:t>
      </w:r>
    </w:p>
    <w:p>
      <w:pPr>
        <w:pStyle w:val="7"/>
        <w:ind w:left="980" w:hanging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主要研究者：</w:t>
      </w:r>
    </w:p>
    <w:p>
      <w:pPr>
        <w:pStyle w:val="7"/>
        <w:ind w:left="980" w:hanging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临床试验组长单位/协调研究者（多中心临床试验适用）：</w:t>
      </w:r>
    </w:p>
    <w:p>
      <w:pPr>
        <w:pStyle w:val="7"/>
        <w:ind w:left="980" w:hanging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申办者：</w:t>
      </w:r>
    </w:p>
    <w:p>
      <w:pPr>
        <w:spacing w:before="50" w:after="5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50" w:after="5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50" w:after="5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50" w:after="5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填写说明</w:t>
      </w:r>
    </w:p>
    <w:p>
      <w:pPr>
        <w:pStyle w:val="5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15"/>
        <w:spacing w:after="0" w:line="5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1.申办者应当根据试验目的，综合考虑试验医疗器械的风险、技术特征、适用范围等，组织制定科学、合理的临床试验方案。</w:t>
      </w:r>
    </w:p>
    <w:p>
      <w:pPr>
        <w:pStyle w:val="15"/>
        <w:spacing w:after="0" w:line="5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2.本方案应当由主要研究者签名和注明日期，经医疗器械临床试验机构审核签章后交申办者。</w:t>
      </w: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3.可附方案历次修订情况以及理由。</w:t>
      </w: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4.方案应当有目录。</w:t>
      </w: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5.可根据需要增加缩略语表、参考文献等内容。</w:t>
      </w: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spacing w:after="0"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一、申办者信息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（一）申办者名称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（二）申办者地址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（三）申办者联系方式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二、临床试验机构和主要研究者信息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三、临床试验的背景资料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（一）研发背景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（二）产品基本信息（包括结构组成、工作原理、作用机理、产品特点等）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（三）适用范围以及相关信息（包括适应症、适用人群、使用部位、与人体接触的方式和时间、疾病的严重程度和阶段、使用条件、重复使用、使用方法、禁忌症、警告以及预防措施等）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四、试验目的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五、试验设计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（一）总体设计以及确定依据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（二）受试者选择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1.入选标准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2.排除标准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3.受试者退出标准和程序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（三）评价方法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1.有效性评价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（1）评价指标以及其观察目的、定义、观察时间点、测定方法、计算公式（如适用）、判定标准（适用于定性指标和等级指标）等。如适用，明确规定主要评价指标和次要评价指标。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（2）确定依据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2.安全性评价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（1）评价指标以及其观察目的、定义、观察时间点、测定方法、计算公式（如适用）、判定标准（适用于定性指标和等级指标）等。如适用，明确规定主要评价指标和次要评价指标。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（2）确定依据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（四）试验医疗器械和对照医疗器械/对照诊疗方法（如适用）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（五）试验流程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1.试验流程图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2.试验实施（方法、内容、步骤等）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3.用械规范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4.合并治疗（如用药）规范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（六）偏倚控制措施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六、统计学考虑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（一）样本量估算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1.计算公式、各参数取值（如显著性水平、把握度、预期脱落率、界值等）以及其确定依据，计算结果</w:t>
      </w:r>
    </w:p>
    <w:p>
      <w:pPr>
        <w:pStyle w:val="7"/>
        <w:spacing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2.样本量分配以及其确定依据（如适用）</w:t>
      </w:r>
    </w:p>
    <w:p>
      <w:pPr>
        <w:pStyle w:val="13"/>
        <w:spacing w:after="0"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（二）分析数据集</w:t>
      </w:r>
    </w:p>
    <w:p>
      <w:pPr>
        <w:pStyle w:val="13"/>
        <w:spacing w:after="0"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（三）受试者剔除标准</w:t>
      </w:r>
    </w:p>
    <w:p>
      <w:pPr>
        <w:pStyle w:val="13"/>
        <w:spacing w:after="0"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（四）统计方法</w:t>
      </w:r>
    </w:p>
    <w:p>
      <w:pPr>
        <w:pStyle w:val="13"/>
        <w:spacing w:after="0"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（五）缺失值和异常值的处理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七、监查计划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八、数据管理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九、风险受益分析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十、临床试验的质量控制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十一、临床试验的伦理问题以及知情同意</w:t>
      </w:r>
    </w:p>
    <w:p>
      <w:pPr>
        <w:pStyle w:val="7"/>
        <w:spacing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（一）伦理方面的考虑</w:t>
      </w:r>
    </w:p>
    <w:p>
      <w:pPr>
        <w:pStyle w:val="7"/>
        <w:spacing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（二）知情同意过程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十二、对不良事件和器械缺陷报告的规定</w:t>
      </w:r>
    </w:p>
    <w:p>
      <w:pPr>
        <w:pStyle w:val="7"/>
        <w:spacing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（一）不良事件的定义和报告规定</w:t>
      </w:r>
    </w:p>
    <w:p>
      <w:pPr>
        <w:pStyle w:val="7"/>
        <w:spacing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（二）器械缺陷</w:t>
      </w:r>
    </w:p>
    <w:p>
      <w:pPr>
        <w:pStyle w:val="7"/>
        <w:spacing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（三）严重不良事件的定义</w:t>
      </w:r>
    </w:p>
    <w:p>
      <w:pPr>
        <w:pStyle w:val="7"/>
        <w:spacing w:line="56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（四）报告程序、联络人信息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十三、临床试验方案的偏离与临床试验方案修正的规定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十四、直接访问源数据、文件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十五、临床试验报告应当涵盖的内容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十六、保密原则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十七、各方承担的职责</w:t>
      </w:r>
    </w:p>
    <w:p>
      <w:pPr>
        <w:pStyle w:val="12"/>
        <w:spacing w:line="560" w:lineRule="exact"/>
        <w:ind w:left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十八、其他需要说明的内容</w:t>
      </w:r>
      <w:bookmarkStart w:id="0" w:name="_GoBack"/>
      <w:bookmarkEnd w:id="0"/>
    </w:p>
    <w:p>
      <w:pPr>
        <w:pStyle w:val="8"/>
        <w:spacing w:after="0"/>
        <w:ind w:left="0" w:leftChars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研究者声明</w:t>
      </w:r>
    </w:p>
    <w:p>
      <w:pPr>
        <w:pStyle w:val="8"/>
        <w:spacing w:after="0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我同意：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1.严格按照赫尔辛基宣言、中国现行法规、以及试验方案的要求进行本次临床试验。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2.将所要求的全部数据准确记录于病例报告表（CRF）中，配合完成临床试验报告。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3.试验医疗器械仅用于本次临床试验，在临床试验过程中完整准确地记录试验医疗器械的接收和使用情况，并保存记录。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4.允许申办者授权或派遣的监查员、稽查员和监管部门对该项临床试验进行监查、稽查和检查。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5.严格履行各方签署的临床试验合同/协议条款。</w:t>
      </w:r>
    </w:p>
    <w:p>
      <w:pPr>
        <w:pStyle w:val="12"/>
        <w:spacing w:line="56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我已全部阅读了临床试验方案，包括以上的声明，我同意以上全部内容。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50" w:after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主要研究者</w:t>
            </w:r>
          </w:p>
          <w:p>
            <w:pPr>
              <w:spacing w:before="50" w:after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签名</w:t>
            </w:r>
          </w:p>
          <w:p>
            <w:pPr>
              <w:spacing w:before="50" w:after="50"/>
              <w:ind w:left="5600" w:hanging="5600" w:hangingChars="2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　　　　　　　　　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　　月　　日</w:t>
            </w: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7920" w:type="dxa"/>
          </w:tcPr>
          <w:p>
            <w:pPr>
              <w:spacing w:before="50" w:after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医疗器械临床试验机构</w:t>
            </w:r>
          </w:p>
          <w:p>
            <w:pPr>
              <w:spacing w:before="50" w:after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　　　　　　　　　　　　　　　　　　　　　　　　　　　　　　　　　　　</w:t>
            </w:r>
          </w:p>
          <w:p>
            <w:pPr>
              <w:spacing w:before="50" w:after="50"/>
              <w:ind w:left="5880" w:hanging="5880" w:hangingChars="2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　　　　　　　　　　　　 　签章</w:t>
            </w:r>
          </w:p>
          <w:p>
            <w:pPr>
              <w:spacing w:before="50" w:after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　　　　　　　　　　　　　年　　月　　日　　</w:t>
            </w: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7940" w:type="dxa"/>
          </w:tcPr>
          <w:p>
            <w:pPr>
              <w:spacing w:before="50" w:after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申办者　　　　　　　　　　　　　　　　</w:t>
            </w:r>
          </w:p>
          <w:p>
            <w:pPr>
              <w:spacing w:before="50" w:after="50"/>
              <w:ind w:left="5880" w:hanging="5880" w:hangingChars="2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　　　　　　　　　　　　 　签章</w:t>
            </w:r>
          </w:p>
          <w:p>
            <w:pPr>
              <w:spacing w:before="50" w:after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　　　　　　　　　　　　　　年　　月　　日　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.ì.">
    <w:altName w:val="仿宋_GB2312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9"/>
        <w:sz w:val="28"/>
        <w:szCs w:val="28"/>
      </w:rPr>
    </w:pPr>
    <w:r>
      <w:rPr>
        <w:rStyle w:val="19"/>
        <w:rFonts w:hint="eastAsia"/>
        <w:color w:val="FFFFFF"/>
        <w:sz w:val="28"/>
        <w:szCs w:val="28"/>
      </w:rPr>
      <w:t>—</w:t>
    </w:r>
    <w:r>
      <w:rPr>
        <w:rStyle w:val="19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9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19"/>
        <w:rFonts w:hint="eastAsia"/>
        <w:sz w:val="28"/>
        <w:szCs w:val="28"/>
      </w:rPr>
      <w:t xml:space="preserve"> — </w:t>
    </w:r>
  </w:p>
  <w:p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NjUzZTZmYThjYzM3MTgwYzBiYjg5MzM0NTAzODcifQ=="/>
  </w:docVars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7A0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05099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A652B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20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BF7D3D6"/>
    <w:rsid w:val="1DE7393D"/>
    <w:rsid w:val="27F41AFC"/>
    <w:rsid w:val="283C4E2B"/>
    <w:rsid w:val="2BEFAEE5"/>
    <w:rsid w:val="2DBEA235"/>
    <w:rsid w:val="32292413"/>
    <w:rsid w:val="33F5D4D3"/>
    <w:rsid w:val="3EDD547D"/>
    <w:rsid w:val="3EFE6701"/>
    <w:rsid w:val="3FD14A26"/>
    <w:rsid w:val="3FE32350"/>
    <w:rsid w:val="449804BF"/>
    <w:rsid w:val="44B35DAE"/>
    <w:rsid w:val="45386969"/>
    <w:rsid w:val="45492E01"/>
    <w:rsid w:val="45E79B50"/>
    <w:rsid w:val="466F7F34"/>
    <w:rsid w:val="4D7F5185"/>
    <w:rsid w:val="4FDDB3FD"/>
    <w:rsid w:val="525725EC"/>
    <w:rsid w:val="53EB1CFE"/>
    <w:rsid w:val="5CFD1998"/>
    <w:rsid w:val="5DBD2B85"/>
    <w:rsid w:val="5DDF058A"/>
    <w:rsid w:val="5EF17F99"/>
    <w:rsid w:val="5F8C32F3"/>
    <w:rsid w:val="6AB639C7"/>
    <w:rsid w:val="6EF7404B"/>
    <w:rsid w:val="6F7B6BCB"/>
    <w:rsid w:val="70C242B2"/>
    <w:rsid w:val="71BB448E"/>
    <w:rsid w:val="737FCC71"/>
    <w:rsid w:val="738F858F"/>
    <w:rsid w:val="73CC2AC7"/>
    <w:rsid w:val="758F27DE"/>
    <w:rsid w:val="767FC11C"/>
    <w:rsid w:val="77E3854C"/>
    <w:rsid w:val="7B353E95"/>
    <w:rsid w:val="7BDEBD2E"/>
    <w:rsid w:val="7BED1CE6"/>
    <w:rsid w:val="7BF38D75"/>
    <w:rsid w:val="7DCFDC20"/>
    <w:rsid w:val="7E3F5584"/>
    <w:rsid w:val="7EBEFE31"/>
    <w:rsid w:val="7F9936EE"/>
    <w:rsid w:val="7FBFBB83"/>
    <w:rsid w:val="7FD7F33C"/>
    <w:rsid w:val="7FDA4245"/>
    <w:rsid w:val="7FE7BA17"/>
    <w:rsid w:val="7FED0E12"/>
    <w:rsid w:val="7FF60759"/>
    <w:rsid w:val="7FFE36C4"/>
    <w:rsid w:val="7FFFFE85"/>
    <w:rsid w:val="8ACF6BCB"/>
    <w:rsid w:val="9CF779D3"/>
    <w:rsid w:val="9DF74A28"/>
    <w:rsid w:val="9FFF1748"/>
    <w:rsid w:val="ABEE9937"/>
    <w:rsid w:val="AE6DF97C"/>
    <w:rsid w:val="AE9FA30E"/>
    <w:rsid w:val="AF7E3731"/>
    <w:rsid w:val="AFB767AB"/>
    <w:rsid w:val="B59C95A6"/>
    <w:rsid w:val="B956938E"/>
    <w:rsid w:val="BA7C527C"/>
    <w:rsid w:val="BF9F9802"/>
    <w:rsid w:val="BFDEE498"/>
    <w:rsid w:val="BFFFA68C"/>
    <w:rsid w:val="C75BAD50"/>
    <w:rsid w:val="CECEAED5"/>
    <w:rsid w:val="D3FF86D6"/>
    <w:rsid w:val="D7EF4F30"/>
    <w:rsid w:val="DAEFBAC0"/>
    <w:rsid w:val="DBFF303B"/>
    <w:rsid w:val="DFF7A5E7"/>
    <w:rsid w:val="E3D76B8E"/>
    <w:rsid w:val="E597D058"/>
    <w:rsid w:val="E77F02FF"/>
    <w:rsid w:val="E9FC1661"/>
    <w:rsid w:val="EBBCC4B7"/>
    <w:rsid w:val="EBCED0E1"/>
    <w:rsid w:val="EBFA34C8"/>
    <w:rsid w:val="EEEF7F2E"/>
    <w:rsid w:val="EEFFEB2E"/>
    <w:rsid w:val="EF60E42C"/>
    <w:rsid w:val="EFEF64EF"/>
    <w:rsid w:val="F1FECC9D"/>
    <w:rsid w:val="F29F7530"/>
    <w:rsid w:val="F79E546D"/>
    <w:rsid w:val="F7AFF3D0"/>
    <w:rsid w:val="FAB2CB42"/>
    <w:rsid w:val="FB5F26CF"/>
    <w:rsid w:val="FD9F851C"/>
    <w:rsid w:val="FDBD781B"/>
    <w:rsid w:val="FDFFB9D3"/>
    <w:rsid w:val="FE7CEC22"/>
    <w:rsid w:val="FEBF8D61"/>
    <w:rsid w:val="FF6BAC68"/>
    <w:rsid w:val="FF72B169"/>
    <w:rsid w:val="FFAFC933"/>
    <w:rsid w:val="FFBB3DAB"/>
    <w:rsid w:val="FFBFB131"/>
    <w:rsid w:val="FFEB7F66"/>
    <w:rsid w:val="FFFCE808"/>
    <w:rsid w:val="FFFF8F58"/>
    <w:rsid w:val="FFFFA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leftChars="4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qFormat/>
    <w:uiPriority w:val="0"/>
    <w:pPr>
      <w:jc w:val="left"/>
    </w:pPr>
    <w:rPr>
      <w:rFonts w:ascii="仿宋_GB2312" w:hAnsi="宋体" w:eastAsia="仿宋_GB2312"/>
      <w:color w:val="000000"/>
      <w:kern w:val="0"/>
      <w:sz w:val="30"/>
      <w:szCs w:val="30"/>
    </w:rPr>
  </w:style>
  <w:style w:type="paragraph" w:styleId="5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6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3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paragraph" w:styleId="15">
    <w:name w:val="Body Text First Indent"/>
    <w:basedOn w:val="5"/>
    <w:qFormat/>
    <w:uiPriority w:val="0"/>
    <w:pPr>
      <w:ind w:firstLine="420" w:firstLineChars="100"/>
    </w:pPr>
    <w:rPr>
      <w:rFonts w:cs="Times New Roman"/>
    </w:rPr>
  </w:style>
  <w:style w:type="paragraph" w:styleId="16">
    <w:name w:val="Body Text First Indent 2"/>
    <w:basedOn w:val="6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character" w:styleId="19">
    <w:name w:val="page number"/>
    <w:basedOn w:val="18"/>
    <w:qFormat/>
    <w:uiPriority w:val="0"/>
  </w:style>
  <w:style w:type="character" w:customStyle="1" w:styleId="20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11"/>
    <w:qFormat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6</Pages>
  <Words>1368</Words>
  <Characters>1391</Characters>
  <Lines>12</Lines>
  <Paragraphs>3</Paragraphs>
  <TotalTime>2</TotalTime>
  <ScaleCrop>false</ScaleCrop>
  <LinksUpToDate>false</LinksUpToDate>
  <CharactersWithSpaces>1579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2022-03-31T08:13:00Z</dcterms:created>
  <dc:creator>Xtzj.User</dc:creator>
  <cp:lastModifiedBy>Yolanda</cp:lastModifiedBy>
  <cp:lastPrinted>2022-04-02T01:19:00Z</cp:lastPrinted>
  <dcterms:modified xsi:type="dcterms:W3CDTF">2023-02-01T08:57:03Z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D14ED116EDC44679A40544FD3A38DFFB</vt:lpwstr>
  </property>
</Properties>
</file>