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pPr w:leftFromText="180" w:rightFromText="180" w:vertAnchor="text" w:horzAnchor="page" w:tblpX="714" w:tblpY="398"/>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923"/>
        <w:gridCol w:w="1508"/>
        <w:gridCol w:w="1513"/>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36"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b/>
                <w:bCs/>
                <w:sz w:val="24"/>
                <w:szCs w:val="24"/>
              </w:rPr>
            </w:pPr>
            <w:bookmarkStart w:id="1" w:name="_Toc31866"/>
            <w:bookmarkStart w:id="2" w:name="_Toc128037686"/>
            <w:r>
              <w:rPr>
                <w:rFonts w:hint="eastAsia" w:asciiTheme="minorEastAsia" w:hAnsiTheme="minorEastAsia" w:eastAsiaTheme="minorEastAsia" w:cstheme="minorEastAsia"/>
                <w:b/>
                <w:bCs/>
                <w:sz w:val="24"/>
                <w:szCs w:val="24"/>
              </w:rPr>
              <w:t>包号</w:t>
            </w:r>
          </w:p>
        </w:tc>
        <w:tc>
          <w:tcPr>
            <w:tcW w:w="1923"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耗材名称</w:t>
            </w:r>
          </w:p>
        </w:tc>
        <w:tc>
          <w:tcPr>
            <w:tcW w:w="1508"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规格型号</w:t>
            </w:r>
          </w:p>
        </w:tc>
        <w:tc>
          <w:tcPr>
            <w:tcW w:w="1513"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预算上限单价</w:t>
            </w:r>
          </w:p>
        </w:tc>
        <w:tc>
          <w:tcPr>
            <w:tcW w:w="5115"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9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电极贴片</w:t>
            </w:r>
          </w:p>
        </w:tc>
        <w:tc>
          <w:tcPr>
            <w:tcW w:w="1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φ42</w:t>
            </w:r>
          </w:p>
        </w:tc>
        <w:tc>
          <w:tcPr>
            <w:tcW w:w="15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25元/对</w:t>
            </w:r>
          </w:p>
        </w:tc>
        <w:tc>
          <w:tcPr>
            <w:tcW w:w="5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适用于BE-6000智能数码多功能治疗仪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9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超敏C反应蛋白测定试剂盒（散射比浊法）</w:t>
            </w:r>
          </w:p>
        </w:tc>
        <w:tc>
          <w:tcPr>
            <w:tcW w:w="1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5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7.68元/人份</w:t>
            </w:r>
          </w:p>
        </w:tc>
        <w:tc>
          <w:tcPr>
            <w:tcW w:w="5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适用于普门特定蛋白分析仪PA-600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9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柠檬酸消毒液</w:t>
            </w:r>
          </w:p>
        </w:tc>
        <w:tc>
          <w:tcPr>
            <w:tcW w:w="1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5L</w:t>
            </w:r>
          </w:p>
        </w:tc>
        <w:tc>
          <w:tcPr>
            <w:tcW w:w="15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145元/桶</w:t>
            </w:r>
          </w:p>
        </w:tc>
        <w:tc>
          <w:tcPr>
            <w:tcW w:w="5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符合国家，行业针对血透管路消毒标准。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9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一次性使用麻醉呼吸管路</w:t>
            </w:r>
          </w:p>
        </w:tc>
        <w:tc>
          <w:tcPr>
            <w:tcW w:w="1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5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45元/套</w:t>
            </w:r>
          </w:p>
        </w:tc>
        <w:tc>
          <w:tcPr>
            <w:tcW w:w="5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由基本配置转换接头、护帽、Y形件、管路、机器端接头组成。长度不小于1.2米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9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一次性使用鼻胃肠管</w:t>
            </w:r>
          </w:p>
        </w:tc>
        <w:tc>
          <w:tcPr>
            <w:tcW w:w="1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单腔型</w:t>
            </w:r>
          </w:p>
        </w:tc>
        <w:tc>
          <w:tcPr>
            <w:tcW w:w="15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860元/套</w:t>
            </w:r>
          </w:p>
        </w:tc>
        <w:tc>
          <w:tcPr>
            <w:tcW w:w="5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由鼻胃肠管由导管、接头、导丝和导丝手柄组成，用于临床胃肠减压、十二指肠引流、空肠营养用。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06</w:t>
            </w:r>
          </w:p>
        </w:tc>
        <w:tc>
          <w:tcPr>
            <w:tcW w:w="19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一次性呼吸管路</w:t>
            </w:r>
          </w:p>
        </w:tc>
        <w:tc>
          <w:tcPr>
            <w:tcW w:w="1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5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420元/套</w:t>
            </w:r>
          </w:p>
        </w:tc>
        <w:tc>
          <w:tcPr>
            <w:tcW w:w="5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内置螺旋加热丝双管路+自动水罐+细菌过滤器；用于与呼吸机、湿化器、雾化器配套使用。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07</w:t>
            </w:r>
          </w:p>
        </w:tc>
        <w:tc>
          <w:tcPr>
            <w:tcW w:w="19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一次性使用心电电极</w:t>
            </w:r>
          </w:p>
        </w:tc>
        <w:tc>
          <w:tcPr>
            <w:tcW w:w="1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直径6cm，纽扣接头4mm</w:t>
            </w:r>
          </w:p>
        </w:tc>
        <w:tc>
          <w:tcPr>
            <w:tcW w:w="15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2元/片</w:t>
            </w:r>
          </w:p>
        </w:tc>
        <w:tc>
          <w:tcPr>
            <w:tcW w:w="5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由压敏胶粘贴、电极芯和导电胶组成。直径6cm，纽扣接头4mm,适用于伟力低频脉冲治疗仪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08</w:t>
            </w:r>
          </w:p>
        </w:tc>
        <w:tc>
          <w:tcPr>
            <w:tcW w:w="19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胰岛素泵用储药器组件、皮</w:t>
            </w:r>
            <w:bookmarkStart w:id="75" w:name="_GoBack"/>
            <w:bookmarkEnd w:id="75"/>
            <w:r>
              <w:rPr>
                <w:rFonts w:hint="eastAsia" w:asciiTheme="minorEastAsia" w:hAnsiTheme="minorEastAsia" w:eastAsiaTheme="minorEastAsia" w:cstheme="minorEastAsia"/>
                <w:i w:val="0"/>
                <w:iCs w:val="0"/>
                <w:color w:val="000000"/>
                <w:kern w:val="0"/>
                <w:sz w:val="24"/>
                <w:szCs w:val="24"/>
                <w:u w:val="none"/>
                <w:lang w:val="en-US" w:eastAsia="zh-CN" w:bidi="ar"/>
              </w:rPr>
              <w:t>下输液器</w:t>
            </w:r>
          </w:p>
        </w:tc>
        <w:tc>
          <w:tcPr>
            <w:tcW w:w="1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5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储药器46元/个输液器46元/个</w:t>
            </w:r>
          </w:p>
        </w:tc>
        <w:tc>
          <w:tcPr>
            <w:tcW w:w="5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用于贴敷式胰岛素泵系统向皮下持续输注胰岛素药物。适用于MTM型贴敷式胰岛素泵系统。</w:t>
            </w:r>
          </w:p>
        </w:tc>
      </w:tr>
    </w:tbl>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pPr>
        <w:pStyle w:val="12"/>
        <w:ind w:left="0" w:firstLine="480" w:firstLineChars="200"/>
      </w:pPr>
      <w:r>
        <w:rPr>
          <w:rFonts w:hint="eastAsia"/>
        </w:rPr>
        <w:t>1.供货期：签订合同之日起24个月。</w:t>
      </w:r>
    </w:p>
    <w:p>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2"/>
        <w:ind w:left="0" w:firstLine="480" w:firstLineChars="200"/>
      </w:pPr>
      <w:r>
        <w:rPr>
          <w:rFonts w:hint="eastAsia"/>
        </w:rPr>
        <w:t>5.付款方式：</w:t>
      </w:r>
      <w:r>
        <w:t>参考合同第二条，以合同约定为准</w:t>
      </w:r>
      <w:r>
        <w:rPr>
          <w:rFonts w:hint="eastAsia"/>
        </w:rPr>
        <w:t xml:space="preserve">。 </w:t>
      </w:r>
    </w:p>
    <w:p>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2"/>
        <w:ind w:left="0" w:firstLine="480" w:firstLineChars="200"/>
        <w:rPr>
          <w:b/>
        </w:rPr>
      </w:pPr>
      <w:r>
        <w:rPr>
          <w:rFonts w:hint="eastAsia"/>
        </w:rPr>
        <w:t>8.</w:t>
      </w:r>
      <w:r>
        <w:rPr>
          <w:rFonts w:hint="eastAsia"/>
          <w:b/>
        </w:rPr>
        <w:t>售后服务基本要求</w:t>
      </w:r>
    </w:p>
    <w:p>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2"/>
        <w:ind w:left="0"/>
      </w:pPr>
    </w:p>
    <w:p>
      <w:pPr>
        <w:ind w:left="0"/>
      </w:pPr>
    </w:p>
    <w:p>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128037687"/>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spacing w:before="156" w:beforeLines="50" w:after="156" w:afterLines="50" w:line="560" w:lineRule="exact"/>
        <w:jc w:val="center"/>
        <w:rPr>
          <w:rFonts w:hint="eastAsia" w:ascii="宋体" w:hAnsi="宋体" w:cs="宋体"/>
          <w:b/>
          <w:sz w:val="44"/>
          <w:szCs w:val="44"/>
        </w:rPr>
      </w:pPr>
      <w:bookmarkStart w:id="11" w:name="_Toc374439153"/>
      <w:bookmarkStart w:id="12" w:name="_Toc318878971"/>
      <w:bookmarkStart w:id="13" w:name="_Toc109889663"/>
      <w:bookmarkStart w:id="14" w:name="_Toc128037689"/>
      <w:bookmarkStart w:id="15" w:name="_Toc532"/>
      <w:bookmarkStart w:id="16" w:name="_Toc3847"/>
    </w:p>
    <w:p>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pPr>
        <w:spacing w:line="560" w:lineRule="exact"/>
        <w:rPr>
          <w:rFonts w:hint="eastAsia" w:ascii="宋体" w:hAnsi="宋体" w:cs="宋体"/>
          <w:b/>
          <w:sz w:val="48"/>
          <w:szCs w:val="48"/>
        </w:rPr>
      </w:pPr>
    </w:p>
    <w:p>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pPr>
        <w:spacing w:line="560" w:lineRule="exact"/>
        <w:ind w:firstLine="560" w:firstLineChars="200"/>
        <w:rPr>
          <w:rFonts w:hint="eastAsia" w:ascii="宋体" w:hAnsi="宋体" w:eastAsia="宋体"/>
          <w:bCs/>
          <w:sz w:val="28"/>
          <w:szCs w:val="28"/>
          <w:highlight w:val="yellow"/>
          <w:lang w:eastAsia="zh-CN"/>
        </w:rPr>
      </w:pPr>
      <w:r>
        <w:rPr>
          <w:rFonts w:hint="eastAsia" w:ascii="宋体" w:hAnsi="宋体"/>
          <w:bCs/>
          <w:sz w:val="28"/>
          <w:szCs w:val="28"/>
          <w:highlight w:val="yellow"/>
        </w:rPr>
        <w:t>5、合同</w:t>
      </w:r>
      <w:r>
        <w:rPr>
          <w:rFonts w:hint="eastAsia" w:ascii="宋体" w:hAnsi="宋体"/>
          <w:bCs/>
          <w:sz w:val="28"/>
          <w:szCs w:val="28"/>
          <w:highlight w:val="yellow"/>
          <w:lang w:val="en-US" w:eastAsia="zh-CN"/>
        </w:rPr>
        <w:t>打印纸质版</w:t>
      </w:r>
      <w:r>
        <w:rPr>
          <w:rFonts w:hint="eastAsia" w:ascii="宋体" w:hAnsi="宋体"/>
          <w:bCs/>
          <w:sz w:val="28"/>
          <w:szCs w:val="28"/>
          <w:highlight w:val="yellow"/>
        </w:rPr>
        <w:t>一式二份</w:t>
      </w:r>
      <w:r>
        <w:rPr>
          <w:rFonts w:hint="eastAsia" w:ascii="宋体" w:hAnsi="宋体"/>
          <w:bCs/>
          <w:sz w:val="28"/>
          <w:szCs w:val="28"/>
          <w:highlight w:val="yellow"/>
          <w:lang w:eastAsia="zh-CN"/>
        </w:rPr>
        <w:t>。</w:t>
      </w:r>
    </w:p>
    <w:p>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pPr>
        <w:spacing w:line="560" w:lineRule="exact"/>
        <w:ind w:firstLine="480"/>
        <w:rPr>
          <w:rFonts w:hint="eastAsia"/>
          <w:color w:val="000000"/>
          <w:sz w:val="52"/>
          <w:szCs w:val="52"/>
        </w:rPr>
      </w:pPr>
    </w:p>
    <w:p>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2173" w:tblpY="403"/>
        <w:tblOverlap w:val="never"/>
        <w:tblW w:w="0" w:type="auto"/>
        <w:tblInd w:w="0" w:type="dxa"/>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highlight w:val="none"/>
        </w:rPr>
      </w:pPr>
      <w:r>
        <w:rPr>
          <w:rFonts w:hint="eastAsia" w:ascii="宋体" w:hAnsi="宋体"/>
          <w:sz w:val="24"/>
          <w:highlight w:val="none"/>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highlight w:val="none"/>
        </w:rPr>
      </w:pPr>
      <w:r>
        <w:rPr>
          <w:rFonts w:hint="eastAsia" w:ascii="宋体" w:hAnsi="宋体"/>
          <w:b/>
          <w:bCs/>
          <w:sz w:val="24"/>
          <w:highlight w:val="none"/>
        </w:rPr>
        <w:t xml:space="preserve">第二条 </w:t>
      </w:r>
      <w:r>
        <w:rPr>
          <w:rFonts w:ascii="宋体" w:hAnsi="宋体"/>
          <w:b/>
          <w:bCs/>
          <w:sz w:val="24"/>
          <w:highlight w:val="none"/>
        </w:rPr>
        <w:t xml:space="preserve"> </w:t>
      </w:r>
      <w:r>
        <w:rPr>
          <w:rFonts w:hint="eastAsia" w:ascii="宋体" w:hAnsi="宋体"/>
          <w:b/>
          <w:bCs/>
          <w:sz w:val="24"/>
          <w:highlight w:val="none"/>
        </w:rPr>
        <w:t>付款时间及方式</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甲方在收到要求乙方提供的全部货物</w:t>
      </w:r>
      <w:r>
        <w:rPr>
          <w:rFonts w:hint="eastAsia" w:ascii="宋体" w:hAnsi="宋体"/>
          <w:color w:val="auto"/>
          <w:sz w:val="24"/>
          <w:highlight w:val="none"/>
          <w:lang w:eastAsia="zh-CN"/>
        </w:rPr>
        <w:t>后组织验收</w:t>
      </w:r>
      <w:r>
        <w:rPr>
          <w:rFonts w:hint="eastAsia" w:ascii="宋体" w:hAnsi="宋体"/>
          <w:color w:val="auto"/>
          <w:sz w:val="24"/>
          <w:highlight w:val="none"/>
        </w:rPr>
        <w:t>，</w:t>
      </w:r>
      <w:r>
        <w:rPr>
          <w:rFonts w:hint="eastAsia" w:ascii="宋体" w:hAnsi="宋体"/>
          <w:color w:val="auto"/>
          <w:sz w:val="24"/>
          <w:highlight w:val="none"/>
          <w:lang w:eastAsia="zh-CN"/>
        </w:rPr>
        <w:t>在货物</w:t>
      </w:r>
      <w:r>
        <w:rPr>
          <w:rFonts w:hint="eastAsia" w:ascii="宋体" w:hAnsi="宋体"/>
          <w:color w:val="auto"/>
          <w:sz w:val="24"/>
          <w:highlight w:val="none"/>
        </w:rPr>
        <w:t>验收合格</w:t>
      </w:r>
      <w:r>
        <w:rPr>
          <w:rFonts w:hint="eastAsia" w:ascii="宋体" w:hAnsi="宋体"/>
          <w:color w:val="auto"/>
          <w:sz w:val="24"/>
          <w:highlight w:val="none"/>
          <w:lang w:eastAsia="zh-CN"/>
        </w:rPr>
        <w:t>，且</w:t>
      </w:r>
      <w:r>
        <w:rPr>
          <w:rFonts w:hint="eastAsia" w:ascii="宋体" w:hAnsi="宋体"/>
          <w:color w:val="auto"/>
          <w:sz w:val="24"/>
          <w:highlight w:val="none"/>
        </w:rPr>
        <w:t>低值耗材</w:t>
      </w:r>
      <w:r>
        <w:rPr>
          <w:rFonts w:hint="eastAsia" w:ascii="宋体" w:hAnsi="宋体"/>
          <w:color w:val="auto"/>
          <w:sz w:val="24"/>
          <w:highlight w:val="none"/>
          <w:lang w:eastAsia="zh-CN"/>
        </w:rPr>
        <w:t>经</w:t>
      </w:r>
      <w:r>
        <w:rPr>
          <w:rFonts w:hint="eastAsia" w:ascii="宋体" w:hAnsi="宋体"/>
          <w:color w:val="auto"/>
          <w:sz w:val="24"/>
          <w:highlight w:val="none"/>
        </w:rPr>
        <w:t>甲方消耗出库</w:t>
      </w:r>
      <w:r>
        <w:rPr>
          <w:rFonts w:hint="eastAsia" w:ascii="宋体" w:hAnsi="宋体"/>
          <w:color w:val="auto"/>
          <w:sz w:val="24"/>
          <w:highlight w:val="none"/>
          <w:lang w:eastAsia="zh-CN"/>
        </w:rPr>
        <w:t>、</w:t>
      </w:r>
      <w:r>
        <w:rPr>
          <w:rFonts w:hint="eastAsia" w:ascii="宋体" w:hAnsi="宋体"/>
          <w:color w:val="auto"/>
          <w:sz w:val="24"/>
          <w:highlight w:val="none"/>
        </w:rPr>
        <w:t>高值或植入性耗材</w:t>
      </w:r>
      <w:r>
        <w:rPr>
          <w:rFonts w:hint="eastAsia" w:ascii="宋体" w:hAnsi="宋体"/>
          <w:color w:val="auto"/>
          <w:sz w:val="24"/>
          <w:highlight w:val="none"/>
          <w:lang w:eastAsia="zh-CN"/>
        </w:rPr>
        <w:t>经</w:t>
      </w:r>
      <w:r>
        <w:rPr>
          <w:rFonts w:hint="eastAsia" w:ascii="宋体" w:hAnsi="宋体"/>
          <w:color w:val="auto"/>
          <w:sz w:val="24"/>
          <w:highlight w:val="none"/>
        </w:rPr>
        <w:t>甲方使用后</w:t>
      </w:r>
      <w:r>
        <w:rPr>
          <w:rFonts w:hint="eastAsia" w:ascii="宋体" w:hAnsi="宋体"/>
          <w:color w:val="auto"/>
          <w:sz w:val="24"/>
          <w:highlight w:val="none"/>
          <w:lang w:eastAsia="zh-CN"/>
        </w:rPr>
        <w:t>，</w:t>
      </w:r>
      <w:r>
        <w:rPr>
          <w:rFonts w:hint="eastAsia" w:ascii="宋体" w:hAnsi="宋体"/>
          <w:color w:val="auto"/>
          <w:sz w:val="24"/>
          <w:highlight w:val="none"/>
        </w:rPr>
        <w:t>双方进入结算环节，</w:t>
      </w:r>
      <w:r>
        <w:rPr>
          <w:rFonts w:hint="eastAsia" w:ascii="宋体" w:hAnsi="宋体"/>
          <w:color w:val="auto"/>
          <w:sz w:val="24"/>
          <w:highlight w:val="none"/>
          <w:lang w:eastAsia="zh-CN"/>
        </w:rPr>
        <w:t>即</w:t>
      </w:r>
      <w:r>
        <w:rPr>
          <w:rFonts w:hint="eastAsia" w:ascii="宋体" w:hAnsi="宋体"/>
          <w:color w:val="auto"/>
          <w:sz w:val="24"/>
          <w:highlight w:val="none"/>
        </w:rPr>
        <w:t>乙方收到系统的结算通知后7日内提供与结算金额等额的增值税发票给甲方，自发票到达甲方财务之日起</w:t>
      </w:r>
      <w:r>
        <w:rPr>
          <w:rFonts w:hint="eastAsia" w:ascii="宋体" w:hAnsi="宋体"/>
          <w:color w:val="auto"/>
          <w:sz w:val="24"/>
          <w:highlight w:val="none"/>
          <w:lang w:val="en-US" w:eastAsia="zh-CN"/>
        </w:rPr>
        <w:t>3</w:t>
      </w:r>
      <w:r>
        <w:rPr>
          <w:rFonts w:hint="eastAsia" w:ascii="宋体" w:hAnsi="宋体"/>
          <w:color w:val="auto"/>
          <w:sz w:val="24"/>
          <w:highlight w:val="none"/>
        </w:rPr>
        <w:t>0日内(最长不超过</w:t>
      </w:r>
      <w:r>
        <w:rPr>
          <w:rFonts w:hint="eastAsia" w:ascii="宋体" w:hAnsi="宋体"/>
          <w:color w:val="auto"/>
          <w:sz w:val="24"/>
          <w:highlight w:val="none"/>
          <w:lang w:val="en-US" w:eastAsia="zh-CN"/>
        </w:rPr>
        <w:t>6</w:t>
      </w:r>
      <w:r>
        <w:rPr>
          <w:rFonts w:hint="eastAsia" w:ascii="宋体" w:hAnsi="宋体"/>
          <w:color w:val="auto"/>
          <w:sz w:val="24"/>
          <w:highlight w:val="none"/>
        </w:rPr>
        <w:t>0日)，甲方向乙方支付发票等额货款。</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2、除因不可抗力外，若乙方收到系统的结算通知后超过90天内未向甲方出具等额的增值税发票的，视认乙方放弃此笔货款的确认并承诺不再就此笔款项要求</w:t>
      </w:r>
      <w:r>
        <w:rPr>
          <w:rFonts w:hint="eastAsia" w:ascii="宋体" w:hAnsi="宋体"/>
          <w:color w:val="auto"/>
          <w:sz w:val="24"/>
          <w:highlight w:val="none"/>
          <w:lang w:eastAsia="zh-CN"/>
        </w:rPr>
        <w:t>甲方</w:t>
      </w:r>
      <w:r>
        <w:rPr>
          <w:rFonts w:hint="eastAsia" w:ascii="宋体" w:hAnsi="宋体"/>
          <w:color w:val="auto"/>
          <w:sz w:val="24"/>
          <w:highlight w:val="none"/>
        </w:rPr>
        <w:t>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tblInd w:w="0" w:type="dxa"/>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highlight w:val="none"/>
        </w:rPr>
      </w:pPr>
      <w:r>
        <w:rPr>
          <w:rFonts w:hint="eastAsia" w:ascii="宋体" w:hAnsi="宋体"/>
          <w:sz w:val="24"/>
          <w:highlight w:val="none"/>
        </w:rPr>
        <w:t>2.乙方交付货物在甲方院内</w:t>
      </w:r>
      <w:r>
        <w:rPr>
          <w:rFonts w:hint="eastAsia" w:ascii="宋体" w:hAnsi="宋体"/>
          <w:sz w:val="24"/>
          <w:highlight w:val="none"/>
          <w:lang w:val="en-US" w:eastAsia="zh-CN"/>
        </w:rPr>
        <w:t>使用期间</w:t>
      </w:r>
      <w:r>
        <w:rPr>
          <w:rFonts w:hint="eastAsia" w:ascii="宋体" w:hAnsi="宋体"/>
          <w:sz w:val="24"/>
          <w:highlight w:val="none"/>
        </w:rPr>
        <w:t>，收到产品质量投诉且经甲方或政府相关部门（包括卫生行政部门、食品药品监督管理部门等）确认是有效投诉的，甲方有权单方面解除本协议，乙方需赔偿因上述事宜给甲方及第三方造成的损失。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cs="宋体"/>
          <w:color w:val="auto"/>
          <w:sz w:val="24"/>
          <w:highlight w:val="magenta"/>
        </w:rPr>
      </w:pPr>
      <w:r>
        <w:rPr>
          <w:rFonts w:hint="eastAsia" w:ascii="宋体" w:hAnsi="宋体"/>
          <w:color w:val="auto"/>
          <w:sz w:val="24"/>
          <w:highlight w:val="none"/>
        </w:rPr>
        <w:t>7.</w:t>
      </w:r>
      <w:r>
        <w:rPr>
          <w:rFonts w:hint="eastAsia" w:ascii="宋体" w:hAnsi="宋体" w:cs="宋体"/>
          <w:color w:val="auto"/>
          <w:sz w:val="24"/>
          <w:highlight w:val="none"/>
        </w:rPr>
        <w:t>货物配送必须由甲方SPD供应链延伸服务商负责。甲方SPD供应链延伸服务商会依据中标结果与中标供应商签订院内供应链延伸服务协议(协议具体内容由乙方与甲方SPD供应链延伸服务商协商确定)，收取2%的服务费用，乙方对此不持异议。</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left="0" w:leftChars="0" w:firstLine="0" w:firstLineChars="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一份</w:t>
            </w:r>
            <w:r>
              <w:rPr>
                <w:rFonts w:hint="eastAsia" w:ascii="宋体" w:hAnsi="宋体"/>
                <w:sz w:val="24"/>
                <w:lang w:val="en-US" w:eastAsia="zh-CN"/>
              </w:rPr>
              <w:t>电子版</w:t>
            </w:r>
            <w:r>
              <w:rPr>
                <w:rFonts w:hint="eastAsia" w:ascii="宋体" w:hAnsi="宋体"/>
                <w:sz w:val="24"/>
              </w:rPr>
              <w:t xml:space="preserve">（厂家、供应商营业执照、经营许可、产品注册证或备案证、产品授权书、法人授权书等）   </w:t>
            </w:r>
          </w:p>
          <w:p>
            <w:pPr>
              <w:spacing w:line="360" w:lineRule="auto"/>
              <w:jc w:val="center"/>
              <w:rPr>
                <w:rFonts w:hint="eastAsia" w:ascii="宋体" w:hAnsi="宋体"/>
                <w:sz w:val="24"/>
              </w:rPr>
            </w:pPr>
          </w:p>
        </w:tc>
      </w:tr>
    </w:tbl>
    <w:p>
      <w:pPr>
        <w:spacing w:line="560" w:lineRule="exact"/>
        <w:ind w:firstLine="480" w:firstLineChars="200"/>
        <w:jc w:val="center"/>
        <w:rPr>
          <w:rFonts w:hint="eastAsia" w:ascii="宋体" w:hAnsi="宋体"/>
          <w:sz w:val="24"/>
        </w:rPr>
      </w:pPr>
    </w:p>
    <w:p>
      <w:pPr>
        <w:spacing w:line="560" w:lineRule="exact"/>
        <w:ind w:firstLine="480" w:firstLineChars="200"/>
        <w:jc w:val="center"/>
        <w:rPr>
          <w:rFonts w:hint="eastAsia" w:ascii="宋体" w:hAnsi="宋体"/>
          <w:sz w:val="24"/>
        </w:rPr>
      </w:pPr>
    </w:p>
    <w:p>
      <w:pPr>
        <w:spacing w:line="560" w:lineRule="exact"/>
        <w:ind w:firstLine="480" w:firstLineChars="200"/>
        <w:jc w:val="center"/>
        <w:rPr>
          <w:rFonts w:hint="eastAsia" w:ascii="宋体" w:hAnsi="宋体"/>
          <w:sz w:val="24"/>
        </w:rPr>
      </w:pPr>
    </w:p>
    <w:p>
      <w:pPr>
        <w:spacing w:line="560" w:lineRule="exact"/>
        <w:ind w:firstLine="480" w:firstLineChars="200"/>
        <w:jc w:val="center"/>
        <w:rPr>
          <w:rFonts w:hint="eastAsia" w:ascii="宋体" w:hAnsi="宋体"/>
          <w:sz w:val="24"/>
        </w:rPr>
      </w:pPr>
    </w:p>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highlight w:val="none"/>
        </w:rPr>
      </w:pPr>
      <w:r>
        <w:rPr>
          <w:rFonts w:hint="eastAsia" w:ascii="宋体" w:hAnsi="宋体"/>
          <w:sz w:val="24"/>
          <w:highlight w:val="none"/>
        </w:rPr>
        <w:t xml:space="preserve">附件2：          </w:t>
      </w:r>
      <w:r>
        <w:rPr>
          <w:rFonts w:hint="eastAsia" w:ascii="宋体" w:hAnsi="宋体"/>
          <w:sz w:val="32"/>
          <w:szCs w:val="32"/>
          <w:highlight w:val="none"/>
        </w:rPr>
        <w:t xml:space="preserve">  </w:t>
      </w:r>
      <w:r>
        <w:rPr>
          <w:rFonts w:hint="eastAsia" w:ascii="宋体" w:hAnsi="宋体"/>
          <w:b/>
          <w:bCs/>
          <w:sz w:val="32"/>
          <w:szCs w:val="32"/>
          <w:highlight w:val="none"/>
        </w:rPr>
        <w:t xml:space="preserve"> </w:t>
      </w:r>
      <w:r>
        <w:rPr>
          <w:rFonts w:hint="eastAsia" w:ascii="宋体" w:hAnsi="宋体"/>
          <w:b/>
          <w:bCs/>
          <w:sz w:val="40"/>
          <w:szCs w:val="40"/>
          <w:highlight w:val="none"/>
        </w:rPr>
        <w:t>售后服务承诺</w:t>
      </w:r>
    </w:p>
    <w:p>
      <w:pPr>
        <w:spacing w:line="500" w:lineRule="exact"/>
        <w:ind w:firstLine="480" w:firstLineChars="200"/>
        <w:rPr>
          <w:rFonts w:hint="eastAsia"/>
          <w:sz w:val="24"/>
          <w:szCs w:val="28"/>
          <w:highlight w:val="none"/>
        </w:rPr>
      </w:pPr>
      <w:r>
        <w:rPr>
          <w:rFonts w:hint="eastAsia"/>
          <w:sz w:val="24"/>
          <w:szCs w:val="28"/>
          <w:highlight w:val="none"/>
        </w:rPr>
        <w:t>乙方对中标产品的售后服务做出以下承诺：</w:t>
      </w:r>
    </w:p>
    <w:p>
      <w:pPr>
        <w:spacing w:line="500" w:lineRule="exact"/>
        <w:ind w:firstLine="480" w:firstLineChars="200"/>
        <w:rPr>
          <w:rFonts w:hint="eastAsia"/>
          <w:sz w:val="24"/>
          <w:szCs w:val="28"/>
          <w:highlight w:val="none"/>
        </w:rPr>
      </w:pPr>
      <w:r>
        <w:rPr>
          <w:rFonts w:hint="eastAsia"/>
          <w:sz w:val="24"/>
          <w:szCs w:val="28"/>
          <w:highlight w:val="none"/>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highlight w:val="none"/>
        </w:rPr>
      </w:pPr>
      <w:r>
        <w:rPr>
          <w:rFonts w:hint="eastAsia"/>
          <w:sz w:val="24"/>
          <w:szCs w:val="28"/>
          <w:highlight w:val="none"/>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highlight w:val="none"/>
        </w:rPr>
      </w:pPr>
      <w:r>
        <w:rPr>
          <w:rFonts w:hint="eastAsia"/>
          <w:sz w:val="24"/>
          <w:szCs w:val="28"/>
          <w:highlight w:val="none"/>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highlight w:val="none"/>
        </w:rPr>
      </w:pPr>
      <w:r>
        <w:rPr>
          <w:rFonts w:hint="eastAsia"/>
          <w:sz w:val="24"/>
          <w:szCs w:val="28"/>
          <w:highlight w:val="none"/>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highlight w:val="none"/>
        </w:rPr>
      </w:pPr>
      <w:r>
        <w:rPr>
          <w:rFonts w:hint="eastAsia"/>
          <w:sz w:val="24"/>
          <w:szCs w:val="28"/>
          <w:highlight w:val="none"/>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highlight w:val="none"/>
        </w:rPr>
      </w:pPr>
      <w:r>
        <w:rPr>
          <w:rFonts w:hint="eastAsia"/>
          <w:sz w:val="24"/>
          <w:szCs w:val="28"/>
          <w:highlight w:val="none"/>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highlight w:val="none"/>
        </w:rPr>
      </w:pPr>
      <w:r>
        <w:rPr>
          <w:rFonts w:hint="eastAsia"/>
          <w:sz w:val="24"/>
          <w:szCs w:val="28"/>
          <w:highlight w:val="none"/>
        </w:rPr>
        <w:t>七、对于一些需要指导的新产品，乙方保证做好相关培训工作，培训产生的费用由乙方负责。</w:t>
      </w:r>
    </w:p>
    <w:p>
      <w:pPr>
        <w:spacing w:line="500" w:lineRule="exact"/>
        <w:ind w:firstLine="480" w:firstLineChars="200"/>
        <w:rPr>
          <w:rFonts w:hint="eastAsia"/>
          <w:sz w:val="24"/>
          <w:szCs w:val="28"/>
          <w:highlight w:val="none"/>
        </w:rPr>
      </w:pPr>
      <w:r>
        <w:rPr>
          <w:rFonts w:hint="eastAsia"/>
          <w:sz w:val="24"/>
          <w:szCs w:val="28"/>
          <w:highlight w:val="none"/>
        </w:rPr>
        <w:t>八、乙方保证在供货中对因运输破损等原因无法使用的产品无条件退换。</w:t>
      </w:r>
    </w:p>
    <w:p>
      <w:pPr>
        <w:spacing w:line="500" w:lineRule="exact"/>
        <w:ind w:firstLine="480" w:firstLineChars="200"/>
        <w:rPr>
          <w:rFonts w:hint="eastAsia"/>
          <w:sz w:val="24"/>
          <w:szCs w:val="28"/>
          <w:highlight w:val="none"/>
        </w:rPr>
      </w:pPr>
      <w:r>
        <w:rPr>
          <w:rFonts w:hint="eastAsia"/>
          <w:sz w:val="24"/>
          <w:szCs w:val="28"/>
          <w:highlight w:val="none"/>
        </w:rPr>
        <w:t>如有违约，自愿接受甲方处罚，并支付货款10倍的违约金。</w:t>
      </w:r>
    </w:p>
    <w:p>
      <w:pPr>
        <w:spacing w:line="500" w:lineRule="exact"/>
        <w:ind w:firstLine="480" w:firstLineChars="200"/>
        <w:rPr>
          <w:rFonts w:hint="eastAsia"/>
          <w:sz w:val="24"/>
          <w:szCs w:val="28"/>
          <w:highlight w:val="none"/>
        </w:rPr>
      </w:pPr>
      <w:r>
        <w:rPr>
          <w:rFonts w:hint="eastAsia"/>
          <w:sz w:val="24"/>
          <w:szCs w:val="28"/>
          <w:highlight w:val="none"/>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highlight w:val="none"/>
        </w:rPr>
      </w:pPr>
      <w:r>
        <w:rPr>
          <w:rFonts w:hint="eastAsia"/>
          <w:sz w:val="24"/>
          <w:szCs w:val="28"/>
          <w:highlight w:val="none"/>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pStyle w:val="7"/>
        <w:spacing w:beforeLines="50" w:afterLines="50" w:line="240" w:lineRule="auto"/>
        <w:ind w:left="0" w:firstLine="880"/>
        <w:rPr>
          <w:rFonts w:hint="eastAsia" w:ascii="方正小标宋_GBK" w:eastAsia="方正小标宋_GBK"/>
          <w:b w:val="0"/>
          <w:sz w:val="44"/>
          <w:szCs w:val="44"/>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pPr>
        <w:pStyle w:val="2"/>
        <w:ind w:left="0" w:firstLine="562"/>
        <w:rPr>
          <w:sz w:val="28"/>
          <w:szCs w:val="28"/>
        </w:rPr>
      </w:pPr>
      <w:bookmarkStart w:id="18" w:name="_Toc7744"/>
      <w:bookmarkStart w:id="19" w:name="_Toc22203"/>
      <w:bookmarkStart w:id="20" w:name="_Toc109889664"/>
      <w:bookmarkStart w:id="21" w:name="_Toc128037690"/>
      <w:r>
        <w:rPr>
          <w:rFonts w:hint="eastAsia"/>
          <w:sz w:val="28"/>
          <w:szCs w:val="28"/>
        </w:rPr>
        <w:t>材料1：封面</w:t>
      </w:r>
      <w:bookmarkEnd w:id="18"/>
      <w:bookmarkEnd w:id="19"/>
      <w:bookmarkEnd w:id="20"/>
      <w:bookmarkEnd w:id="21"/>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jc w:val="center"/>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autoSpaceDE w:val="0"/>
        <w:autoSpaceDN w:val="0"/>
        <w:adjustRightInd w:val="0"/>
        <w:ind w:left="0" w:firstLine="560"/>
        <w:jc w:val="both"/>
        <w:outlineLvl w:val="0"/>
        <w:rPr>
          <w:rFonts w:ascii="仿宋_GB2312" w:hAnsi="仿宋" w:eastAsia="仿宋_GB2312" w:cs="宋体"/>
          <w:bCs/>
          <w:sz w:val="28"/>
          <w:szCs w:val="28"/>
          <w:lang w:val="zh-CN"/>
        </w:rPr>
      </w:pPr>
    </w:p>
    <w:p>
      <w:pPr>
        <w:autoSpaceDE w:val="0"/>
        <w:autoSpaceDN w:val="0"/>
        <w:adjustRightInd w:val="0"/>
        <w:ind w:left="0"/>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22" w:name="_Toc128037691"/>
      <w:bookmarkStart w:id="23" w:name="_Toc27475"/>
      <w:bookmarkStart w:id="24" w:name="_Toc31500"/>
      <w:bookmarkStart w:id="25" w:name="_Toc10988966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6" w:name="_Toc128037692"/>
      <w:bookmarkStart w:id="27" w:name="_Toc17048"/>
    </w:p>
    <w:p>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9" w:name="_Toc22414"/>
      <w:bookmarkStart w:id="30" w:name="_Toc19294"/>
      <w:bookmarkStart w:id="31" w:name="_Toc128037693"/>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32" w:name="_Toc13816"/>
      <w:bookmarkStart w:id="33" w:name="_Toc31367"/>
      <w:bookmarkStart w:id="34" w:name="_Toc109889666"/>
      <w:bookmarkStart w:id="35" w:name="_Toc128037694"/>
      <w:r>
        <w:rPr>
          <w:rFonts w:hint="eastAsia"/>
          <w:sz w:val="28"/>
          <w:szCs w:val="28"/>
        </w:rPr>
        <w:t>材料5：报名企业资质</w:t>
      </w:r>
      <w:bookmarkEnd w:id="32"/>
      <w:bookmarkEnd w:id="33"/>
      <w:bookmarkEnd w:id="34"/>
      <w:bookmarkEnd w:id="35"/>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6" w:name="_Toc128037695"/>
      <w:bookmarkStart w:id="37" w:name="_Toc109889667"/>
      <w:bookmarkStart w:id="38" w:name="_Toc15845"/>
      <w:bookmarkStart w:id="39" w:name="_Toc5497"/>
      <w:r>
        <w:rPr>
          <w:rFonts w:hint="eastAsia"/>
          <w:sz w:val="28"/>
          <w:szCs w:val="28"/>
        </w:rPr>
        <w:t>材料6：法定代表人证明书/法定代表人授权书</w:t>
      </w:r>
      <w:bookmarkEnd w:id="36"/>
      <w:bookmarkEnd w:id="37"/>
      <w:bookmarkEnd w:id="38"/>
      <w:bookmarkEnd w:id="39"/>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40" w:name="_Toc109889669"/>
      <w:bookmarkStart w:id="41" w:name="_Toc31932"/>
      <w:bookmarkStart w:id="42" w:name="_Toc5403"/>
      <w:bookmarkStart w:id="43" w:name="_Toc128037696"/>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3"/>
          <w:sz w:val="28"/>
          <w:szCs w:val="28"/>
        </w:rPr>
      </w:pPr>
      <w:bookmarkStart w:id="44" w:name="_Toc109889670"/>
    </w:p>
    <w:p>
      <w:pPr>
        <w:tabs>
          <w:tab w:val="left" w:pos="4860"/>
          <w:tab w:val="left" w:pos="5400"/>
          <w:tab w:val="left" w:pos="5580"/>
        </w:tabs>
        <w:ind w:left="0" w:firstLine="560"/>
        <w:rPr>
          <w:rStyle w:val="13"/>
          <w:sz w:val="28"/>
          <w:szCs w:val="28"/>
        </w:rPr>
      </w:pPr>
    </w:p>
    <w:p>
      <w:pPr>
        <w:ind w:left="0" w:firstLine="562"/>
        <w:rPr>
          <w:sz w:val="28"/>
          <w:szCs w:val="28"/>
        </w:rPr>
      </w:pPr>
      <w:bookmarkStart w:id="45" w:name="_Toc128037697"/>
      <w:bookmarkStart w:id="46" w:name="_Toc5018"/>
      <w:r>
        <w:rPr>
          <w:rFonts w:hint="eastAsia"/>
          <w:sz w:val="28"/>
          <w:szCs w:val="28"/>
        </w:rPr>
        <w:br w:type="page"/>
      </w:r>
    </w:p>
    <w:p>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pPr>
        <w:pStyle w:val="2"/>
        <w:ind w:left="0" w:firstLine="562"/>
        <w:rPr>
          <w:sz w:val="28"/>
          <w:szCs w:val="28"/>
        </w:rPr>
      </w:pPr>
      <w:bookmarkStart w:id="48" w:name="_Toc109889671"/>
      <w:r>
        <w:rPr>
          <w:sz w:val="28"/>
          <w:szCs w:val="28"/>
        </w:rPr>
        <w:br w:type="page"/>
      </w:r>
      <w:bookmarkStart w:id="49" w:name="_Toc128037698"/>
      <w:bookmarkStart w:id="50" w:name="_Toc30122"/>
      <w:bookmarkStart w:id="51" w:name="_Toc19006"/>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52" w:name="_Toc109889672"/>
      <w:r>
        <w:rPr>
          <w:sz w:val="28"/>
          <w:szCs w:val="28"/>
        </w:rPr>
        <w:br w:type="page"/>
      </w:r>
      <w:bookmarkStart w:id="53" w:name="_Toc15029"/>
      <w:bookmarkStart w:id="54" w:name="_Toc128037699"/>
      <w:bookmarkStart w:id="55" w:name="_Toc2074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pPr>
        <w:ind w:left="0" w:firstLine="562"/>
        <w:rPr>
          <w:sz w:val="28"/>
          <w:szCs w:val="28"/>
        </w:rPr>
      </w:pPr>
      <w:bookmarkStart w:id="57" w:name="_Toc128037700"/>
      <w:bookmarkStart w:id="58" w:name="_Toc10013"/>
      <w:r>
        <w:rPr>
          <w:rFonts w:hint="eastAsia"/>
          <w:sz w:val="28"/>
          <w:szCs w:val="28"/>
        </w:rPr>
        <w:br w:type="page"/>
      </w:r>
    </w:p>
    <w:p>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3"/>
          <w:sz w:val="28"/>
          <w:szCs w:val="28"/>
        </w:rPr>
      </w:pPr>
      <w:bookmarkStart w:id="64" w:name="_Toc109889675"/>
    </w:p>
    <w:p>
      <w:pPr>
        <w:adjustRightInd w:val="0"/>
        <w:ind w:left="0" w:firstLine="281" w:firstLineChars="100"/>
        <w:rPr>
          <w:rStyle w:val="13"/>
          <w:sz w:val="28"/>
          <w:szCs w:val="28"/>
        </w:rPr>
      </w:pPr>
    </w:p>
    <w:p>
      <w:pPr>
        <w:adjustRightInd w:val="0"/>
        <w:ind w:left="0" w:firstLine="281" w:firstLineChars="100"/>
        <w:rPr>
          <w:rStyle w:val="13"/>
          <w:sz w:val="28"/>
          <w:szCs w:val="28"/>
        </w:rPr>
      </w:pPr>
    </w:p>
    <w:p>
      <w:pPr>
        <w:adjustRightInd w:val="0"/>
        <w:ind w:left="0" w:firstLine="281" w:firstLineChars="100"/>
        <w:rPr>
          <w:rStyle w:val="13"/>
          <w:sz w:val="28"/>
          <w:szCs w:val="28"/>
        </w:rPr>
      </w:pPr>
    </w:p>
    <w:p>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3"/>
          <w:sz w:val="28"/>
          <w:szCs w:val="28"/>
        </w:rPr>
      </w:pPr>
      <w:r>
        <w:rPr>
          <w:rFonts w:hint="eastAsia" w:ascii="仿宋_GB2312" w:hAnsi="仿宋" w:eastAsia="仿宋_GB2312"/>
          <w:sz w:val="28"/>
          <w:szCs w:val="28"/>
        </w:rPr>
        <w:t>日期：        年      月      日</w:t>
      </w:r>
    </w:p>
    <w:p>
      <w:pPr>
        <w:snapToGrid w:val="0"/>
        <w:ind w:left="0" w:firstLine="560"/>
        <w:jc w:val="both"/>
        <w:rPr>
          <w:rStyle w:val="13"/>
          <w:sz w:val="28"/>
          <w:szCs w:val="28"/>
        </w:rPr>
      </w:pPr>
    </w:p>
    <w:p>
      <w:pPr>
        <w:snapToGrid w:val="0"/>
        <w:ind w:left="0" w:firstLine="560"/>
        <w:jc w:val="both"/>
        <w:rPr>
          <w:rStyle w:val="13"/>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72" w:name="_Toc5063"/>
      <w:bookmarkStart w:id="73" w:name="_Toc29976"/>
      <w:bookmarkStart w:id="74" w:name="_Toc128037704"/>
      <w:r>
        <w:rPr>
          <w:rFonts w:hint="eastAsia"/>
          <w:sz w:val="28"/>
          <w:szCs w:val="28"/>
        </w:rPr>
        <w:t>材料16：其他供应商认为需要提供的材料</w:t>
      </w:r>
      <w:bookmarkEnd w:id="72"/>
      <w:bookmarkEnd w:id="73"/>
      <w:bookmarkEnd w:id="74"/>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1" name="图片 1"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ZDk5MzhkYTg3OTA5NmE5OWQwNWU3NjhhNDNlNjYifQ=="/>
  </w:docVars>
  <w:rsids>
    <w:rsidRoot w:val="16D37657"/>
    <w:rsid w:val="0FB32037"/>
    <w:rsid w:val="16D37657"/>
    <w:rsid w:val="1C05728E"/>
    <w:rsid w:val="202F101A"/>
    <w:rsid w:val="22C05F11"/>
    <w:rsid w:val="311C15F2"/>
    <w:rsid w:val="42003792"/>
    <w:rsid w:val="69D07401"/>
    <w:rsid w:val="7A755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2024-07-02T09:35:47Z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F2C8D1978A9F44AAB31A7F08351A467D_13</vt:lpwstr>
  </property>
</Properties>
</file>