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824"/>
        <w:gridCol w:w="1117"/>
        <w:gridCol w:w="1033"/>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1824"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117"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033"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615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一次性使用无菌保护罩</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17.5元/片</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采用聚乙烯材质制造，开口处用棉布带固定。用于手术环境中保护手术室设备的显示器和手控器，避免手术中的医生接触上述部位后，再接触手术中的病人伤口部位造成感染。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医用透明质酸钠凝胶</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3ml</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275元/支</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用于预防或减少腹（盆）腔手术的术后粘连。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中医封包复合磁疗包〔中医封包综合治疗仪〕</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370元/个</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适用于HNJY001A型中药封包治疗仪。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一次性使用皮肤点刺针</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45元/支</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在表皮中形成微通道，显著促进药物的吸收，同时还可激发皮肤血管重建，增加毛囊的血供从而刺激毛发再生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内镜胶</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10ml</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7.5元/支</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该产品配套用于内镜的诊断操作，接受内镜检查的患者按每人壹支使用，可直接涂抹于器械末端，个别体型特异者可酌情增减使用量。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羧氨基葡萄聚多糖钠生物胶体液</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50ml</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265元/瓶</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羧氨基葡聚多糖钠、氯化钠和蒸馏水组成。密封性内包装采用医用包材玻璃瓶、医用丁基胶塞、组合铝盖；喷雾型内包装采用医用铝瓶或聚乙烯瓶及喷头组成。用于减少渗出液，隔离组织创面，促进非慢性创面愈合的作用。外用，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带线缝合针（医用丝线）</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6.5元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由医用缝合针和医用涤纶（聚酯纤维）编织线连接而成。供外科手术中对人体组织缝合、结扎使用。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皮肤缝合器</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165元/把</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由缝合器（包括：抵针座）和缝合钉组成。缝合器的材料为ABS树脂；抵针座的材料为不锈钢；缝合钉的材料为不锈钢，用于外科手术皮肤缝合和紧急医疗处理。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09</w:t>
            </w:r>
          </w:p>
        </w:tc>
        <w:tc>
          <w:tcPr>
            <w:tcW w:w="18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一次性使用加药注射器带针</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30、20、10m1侧孔；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针头单独报价</w:t>
            </w:r>
          </w:p>
        </w:tc>
        <w:tc>
          <w:tcPr>
            <w:tcW w:w="10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0.75元/支</w:t>
            </w:r>
          </w:p>
        </w:tc>
        <w:tc>
          <w:tcPr>
            <w:tcW w:w="6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适用于抽吸药液配制药液或转移药液，不得用于对人体注射。</w:t>
            </w:r>
          </w:p>
        </w:tc>
      </w:tr>
    </w:tbl>
    <w:p>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74439153"/>
      <w:bookmarkStart w:id="12" w:name="_Toc318878971"/>
      <w:bookmarkStart w:id="13" w:name="_Toc532"/>
      <w:bookmarkStart w:id="14" w:name="_Toc128037689"/>
      <w:bookmarkStart w:id="15" w:name="_Toc109889663"/>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128037690"/>
      <w:bookmarkStart w:id="19" w:name="_Toc22203"/>
      <w:bookmarkStart w:id="20" w:name="_Toc109889664"/>
      <w:bookmarkStart w:id="21" w:name="_Toc7744"/>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31500"/>
      <w:bookmarkStart w:id="23" w:name="_Toc27475"/>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7048"/>
      <w:bookmarkStart w:id="27" w:name="_Toc128037692"/>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19294"/>
      <w:bookmarkStart w:id="30" w:name="_Toc128037693"/>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28037694"/>
      <w:bookmarkStart w:id="33" w:name="_Toc13816"/>
      <w:bookmarkStart w:id="34" w:name="_Toc109889666"/>
      <w:bookmarkStart w:id="35" w:name="_Toc31367"/>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15845"/>
      <w:bookmarkStart w:id="37" w:name="_Toc128037695"/>
      <w:bookmarkStart w:id="38" w:name="_Toc109889667"/>
      <w:bookmarkStart w:id="39" w:name="_Toc5497"/>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5403"/>
      <w:bookmarkStart w:id="42" w:name="_Toc31932"/>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5018"/>
      <w:bookmarkStart w:id="46" w:name="_Toc128037697"/>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20749"/>
      <w:bookmarkStart w:id="54" w:name="_Toc12803769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28037700"/>
      <w:bookmarkStart w:id="58" w:name="_Toc10013"/>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29976"/>
      <w:bookmarkStart w:id="73" w:name="_Toc128037704"/>
      <w:bookmarkStart w:id="74" w:name="_Toc5063"/>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FB32037"/>
    <w:rsid w:val="16D37657"/>
    <w:rsid w:val="1C05728E"/>
    <w:rsid w:val="22C05F11"/>
    <w:rsid w:val="42003792"/>
    <w:rsid w:val="541F313C"/>
    <w:rsid w:val="5C1F74B4"/>
    <w:rsid w:val="6751207D"/>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2024-07-04T09:20:19Z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