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tblpXSpec="center" w:tblpY="17"/>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6421"/>
        <w:gridCol w:w="974"/>
        <w:gridCol w:w="488"/>
      </w:tblGrid>
      <w:tr w14:paraId="6929E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37" w:type="dxa"/>
            <w:noWrap w:val="0"/>
            <w:vAlign w:val="center"/>
          </w:tcPr>
          <w:p w14:paraId="488B6D42">
            <w:pPr>
              <w:spacing w:line="288" w:lineRule="auto"/>
              <w:jc w:val="center"/>
              <w:rPr>
                <w:rFonts w:hint="eastAsia" w:ascii="仿宋" w:hAnsi="仿宋" w:eastAsia="仿宋" w:cs="仿宋"/>
                <w:sz w:val="18"/>
                <w:szCs w:val="18"/>
              </w:rPr>
            </w:pPr>
            <w:r>
              <w:rPr>
                <w:rFonts w:hint="eastAsia" w:ascii="仿宋" w:hAnsi="仿宋" w:eastAsia="仿宋" w:cs="仿宋"/>
                <w:b/>
                <w:bCs/>
                <w:sz w:val="18"/>
                <w:szCs w:val="18"/>
              </w:rPr>
              <w:t>序号</w:t>
            </w:r>
          </w:p>
        </w:tc>
        <w:tc>
          <w:tcPr>
            <w:tcW w:w="6421" w:type="dxa"/>
            <w:noWrap w:val="0"/>
            <w:vAlign w:val="center"/>
          </w:tcPr>
          <w:p w14:paraId="2639FEB2">
            <w:pPr>
              <w:spacing w:line="288" w:lineRule="auto"/>
              <w:jc w:val="center"/>
              <w:rPr>
                <w:rFonts w:ascii="仿宋" w:hAnsi="仿宋" w:eastAsia="仿宋" w:cs="仿宋"/>
                <w:sz w:val="18"/>
                <w:szCs w:val="18"/>
              </w:rPr>
            </w:pPr>
            <w:r>
              <w:rPr>
                <w:rFonts w:hint="eastAsia" w:ascii="仿宋" w:hAnsi="仿宋" w:eastAsia="仿宋" w:cs="仿宋"/>
                <w:b/>
                <w:bCs/>
                <w:sz w:val="18"/>
                <w:szCs w:val="18"/>
              </w:rPr>
              <w:t>要求</w:t>
            </w:r>
          </w:p>
        </w:tc>
        <w:tc>
          <w:tcPr>
            <w:tcW w:w="974" w:type="dxa"/>
            <w:noWrap w:val="0"/>
            <w:vAlign w:val="center"/>
          </w:tcPr>
          <w:p w14:paraId="1BA004DD">
            <w:pPr>
              <w:spacing w:line="288" w:lineRule="auto"/>
              <w:jc w:val="center"/>
              <w:rPr>
                <w:rFonts w:hint="eastAsia" w:ascii="仿宋" w:hAnsi="仿宋" w:eastAsia="仿宋" w:cs="仿宋"/>
                <w:b/>
                <w:bCs/>
                <w:sz w:val="18"/>
                <w:szCs w:val="18"/>
                <w:lang w:val="en-US" w:eastAsia="zh-CN"/>
              </w:rPr>
            </w:pPr>
            <w:r>
              <w:rPr>
                <w:rFonts w:hint="eastAsia" w:ascii="仿宋" w:hAnsi="仿宋" w:eastAsia="仿宋" w:cs="仿宋"/>
                <w:b/>
                <w:bCs/>
                <w:sz w:val="18"/>
                <w:szCs w:val="18"/>
                <w:lang w:val="en-US" w:eastAsia="zh-CN"/>
              </w:rPr>
              <w:t>参考报价</w:t>
            </w:r>
          </w:p>
          <w:p w14:paraId="0DDFBD01">
            <w:pPr>
              <w:spacing w:line="288" w:lineRule="auto"/>
              <w:jc w:val="center"/>
              <w:rPr>
                <w:rFonts w:hint="eastAsia" w:ascii="仿宋" w:hAnsi="仿宋" w:eastAsia="仿宋" w:cs="仿宋"/>
                <w:sz w:val="18"/>
                <w:szCs w:val="18"/>
              </w:rPr>
            </w:pPr>
            <w:r>
              <w:rPr>
                <w:rFonts w:hint="eastAsia" w:ascii="仿宋" w:hAnsi="仿宋" w:eastAsia="仿宋" w:cs="仿宋"/>
                <w:b/>
                <w:bCs/>
                <w:sz w:val="18"/>
                <w:szCs w:val="18"/>
              </w:rPr>
              <w:t>（万元）</w:t>
            </w:r>
          </w:p>
        </w:tc>
        <w:tc>
          <w:tcPr>
            <w:tcW w:w="488" w:type="dxa"/>
            <w:noWrap w:val="0"/>
            <w:vAlign w:val="center"/>
          </w:tcPr>
          <w:p w14:paraId="7D2E45B3">
            <w:pPr>
              <w:spacing w:line="288" w:lineRule="auto"/>
              <w:jc w:val="center"/>
              <w:rPr>
                <w:rFonts w:hint="default" w:ascii="仿宋" w:hAnsi="仿宋" w:eastAsia="仿宋" w:cs="仿宋"/>
                <w:b/>
                <w:bCs/>
                <w:sz w:val="18"/>
                <w:szCs w:val="18"/>
                <w:lang w:val="en-US" w:eastAsia="zh-CN"/>
              </w:rPr>
            </w:pPr>
            <w:r>
              <w:rPr>
                <w:rFonts w:hint="eastAsia" w:ascii="仿宋" w:hAnsi="仿宋" w:eastAsia="仿宋" w:cs="仿宋"/>
                <w:b/>
                <w:bCs/>
                <w:sz w:val="18"/>
                <w:szCs w:val="18"/>
                <w:lang w:val="en-US" w:eastAsia="zh-CN"/>
              </w:rPr>
              <w:t>报价</w:t>
            </w:r>
          </w:p>
        </w:tc>
      </w:tr>
      <w:tr w14:paraId="26925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noWrap w:val="0"/>
            <w:vAlign w:val="center"/>
          </w:tcPr>
          <w:p w14:paraId="2EBCF07A">
            <w:pPr>
              <w:spacing w:line="288" w:lineRule="auto"/>
              <w:jc w:val="center"/>
              <w:rPr>
                <w:rFonts w:ascii="仿宋" w:hAnsi="仿宋" w:eastAsia="仿宋" w:cs="仿宋"/>
              </w:rPr>
            </w:pPr>
            <w:r>
              <w:rPr>
                <w:rFonts w:hint="eastAsia" w:ascii="仿宋" w:hAnsi="仿宋" w:eastAsia="仿宋" w:cs="仿宋"/>
              </w:rPr>
              <w:t>1</w:t>
            </w:r>
          </w:p>
        </w:tc>
        <w:tc>
          <w:tcPr>
            <w:tcW w:w="6421" w:type="dxa"/>
            <w:noWrap w:val="0"/>
            <w:vAlign w:val="center"/>
          </w:tcPr>
          <w:p w14:paraId="093F64F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5"/>
                <w:szCs w:val="15"/>
                <w:lang w:val="en-US" w:eastAsia="zh-CN"/>
              </w:rPr>
            </w:pPr>
            <w:r>
              <w:rPr>
                <w:rFonts w:hint="eastAsia" w:ascii="仿宋" w:hAnsi="仿宋" w:eastAsia="仿宋" w:cs="仿宋"/>
                <w:sz w:val="15"/>
                <w:szCs w:val="15"/>
              </w:rPr>
              <w:t>省、部级有突出贡献的中青年专家；享受国务院政府特殊津贴人员；全国老中医药专家学术经验继承工作指导老师；</w:t>
            </w:r>
            <w:r>
              <w:rPr>
                <w:rFonts w:hint="eastAsia" w:ascii="仿宋" w:hAnsi="仿宋" w:eastAsia="仿宋" w:cs="仿宋"/>
                <w:sz w:val="15"/>
                <w:szCs w:val="15"/>
                <w:lang w:val="en-US" w:eastAsia="zh-CN"/>
              </w:rPr>
              <w:t>全国名中医、</w:t>
            </w:r>
            <w:r>
              <w:rPr>
                <w:rFonts w:hint="eastAsia" w:ascii="仿宋" w:hAnsi="仿宋" w:eastAsia="仿宋" w:cs="仿宋"/>
                <w:sz w:val="15"/>
                <w:szCs w:val="15"/>
              </w:rPr>
              <w:t>省级名中医；广东省医学领军人才</w:t>
            </w:r>
            <w:r>
              <w:rPr>
                <w:rFonts w:hint="eastAsia" w:ascii="仿宋" w:hAnsi="仿宋" w:eastAsia="仿宋" w:cs="仿宋"/>
                <w:sz w:val="15"/>
                <w:szCs w:val="15"/>
                <w:lang w:val="en-US" w:eastAsia="zh-CN"/>
              </w:rPr>
              <w:t>;长江学者奖励计划青年学者或者其他国家重点人才计划青年人才、青年拔尖人才；省级重点人才计划杰出人才、领军人才；国家中医药领军人才支持计划（岐黄工程）青年岐黄学者；国家（中医）医学中心主体医院所属专业临床科室主任；国家临床重点专科（含建设项目）、国家中医药管理局重点专科（含建设项目）带头人、主任；高等院校国家重点学科或者“双一流”建设一流学科带头人；中华医学会（临床和医技类、临床药学类、公卫类）、中华预防医学会（公卫类）、中华护理学会（临床护理类）、中华口腔医学会（临床和医技类）、中华中医药学会（临床和医技类）、中国医师协会（临床和医技类)、中国中西医结合学会（临床和医技类）二级分会主任委员、候任主任委员；国家自然科学基金“重点项目”、“重大国际（地区）合作研究项目”、“优秀青年科学基金项目”或者“优秀青年科学基金项目（海外）”资助的项目主持人，且项目通过结题验收。</w:t>
            </w:r>
          </w:p>
        </w:tc>
        <w:tc>
          <w:tcPr>
            <w:tcW w:w="974" w:type="dxa"/>
            <w:noWrap w:val="0"/>
            <w:vAlign w:val="center"/>
          </w:tcPr>
          <w:p w14:paraId="281F26A4">
            <w:pPr>
              <w:spacing w:line="288" w:lineRule="auto"/>
              <w:jc w:val="center"/>
              <w:rPr>
                <w:rFonts w:hint="eastAsia" w:ascii="仿宋" w:hAnsi="仿宋" w:eastAsia="仿宋" w:cs="仿宋"/>
              </w:rPr>
            </w:pPr>
            <w:r>
              <w:rPr>
                <w:rFonts w:hint="eastAsia" w:ascii="仿宋" w:hAnsi="仿宋" w:eastAsia="仿宋" w:cs="仿宋"/>
                <w:lang w:val="en-US" w:eastAsia="zh-CN"/>
              </w:rPr>
              <w:t>5</w:t>
            </w:r>
            <w:r>
              <w:rPr>
                <w:rFonts w:hint="eastAsia" w:ascii="仿宋" w:hAnsi="仿宋" w:eastAsia="仿宋" w:cs="仿宋"/>
              </w:rPr>
              <w:t>0</w:t>
            </w:r>
          </w:p>
        </w:tc>
        <w:tc>
          <w:tcPr>
            <w:tcW w:w="488" w:type="dxa"/>
            <w:noWrap w:val="0"/>
            <w:vAlign w:val="center"/>
          </w:tcPr>
          <w:p w14:paraId="1F46E3FE">
            <w:pPr>
              <w:spacing w:line="288" w:lineRule="auto"/>
              <w:jc w:val="center"/>
              <w:rPr>
                <w:rFonts w:hint="eastAsia" w:ascii="仿宋" w:hAnsi="仿宋" w:eastAsia="仿宋" w:cs="仿宋"/>
                <w:lang w:val="en-US" w:eastAsia="zh-CN"/>
              </w:rPr>
            </w:pPr>
          </w:p>
        </w:tc>
      </w:tr>
      <w:tr w14:paraId="52E1F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noWrap w:val="0"/>
            <w:vAlign w:val="center"/>
          </w:tcPr>
          <w:p w14:paraId="605DBFD0">
            <w:pPr>
              <w:spacing w:line="288" w:lineRule="auto"/>
              <w:jc w:val="center"/>
              <w:rPr>
                <w:rFonts w:ascii="仿宋" w:hAnsi="仿宋" w:eastAsia="仿宋" w:cs="仿宋"/>
              </w:rPr>
            </w:pPr>
            <w:r>
              <w:rPr>
                <w:rFonts w:hint="eastAsia" w:ascii="仿宋" w:hAnsi="仿宋" w:eastAsia="仿宋" w:cs="仿宋"/>
              </w:rPr>
              <w:t>2</w:t>
            </w:r>
          </w:p>
        </w:tc>
        <w:tc>
          <w:tcPr>
            <w:tcW w:w="6421" w:type="dxa"/>
            <w:noWrap w:val="0"/>
            <w:vAlign w:val="center"/>
          </w:tcPr>
          <w:p w14:paraId="5E06A1E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5"/>
                <w:szCs w:val="15"/>
                <w:lang w:eastAsia="zh-CN"/>
              </w:rPr>
            </w:pPr>
            <w:r>
              <w:rPr>
                <w:rFonts w:hint="eastAsia" w:ascii="仿宋" w:hAnsi="仿宋" w:eastAsia="仿宋" w:cs="仿宋"/>
                <w:sz w:val="15"/>
                <w:szCs w:val="15"/>
              </w:rPr>
              <w:t>全国优秀中医临床人才；深圳市名中医；享受深圳市政府特殊津贴人员。省、部、军队科学技术（自然科学、技术发明、科技进步）奖二等</w:t>
            </w:r>
            <w:r>
              <w:rPr>
                <w:rFonts w:hint="eastAsia" w:ascii="仿宋" w:hAnsi="仿宋" w:eastAsia="仿宋" w:cs="仿宋"/>
                <w:sz w:val="15"/>
                <w:szCs w:val="15"/>
                <w:lang w:eastAsia="zh-CN"/>
              </w:rPr>
              <w:t>奖前</w:t>
            </w:r>
            <w:r>
              <w:rPr>
                <w:rFonts w:hint="eastAsia" w:ascii="仿宋" w:hAnsi="仿宋" w:eastAsia="仿宋" w:cs="仿宋"/>
                <w:sz w:val="15"/>
                <w:szCs w:val="15"/>
              </w:rPr>
              <w:t>3名完成人；国家临床重点专科（含建设项目）、国家中医药管理局重点专科（含建设项目）副主任、下设亚专科主任，国家（中医）医学中心主体医院所属专业临床科室副主任；国家区域医疗中心或国家区域中医诊疗中心主体医院所属专科主任，广东省高水平临床重点专科（含建设项目）、省级临床重点专科（含建设项目）带头人、主任；省级中医药（含临床）重点专科（含建设项目）带头人且为具有博士研究生招生经历的博士生导师；“双一流”建设高等院校直属附属三甲医院、省级卫生行政部门直属三甲医院科室主任及以上职务且为具有博士研究生招生经历的“双一流”建设高等院校博士生导师。中华医学会（临床和医技类、临床药学类、公卫类）、中国医师协会（临床和医技类）、中华预防医学会（公卫类）、中华护理学会（临床护理类）、中华口腔医学会（临床和医技类）、中华中医药学会（临床和医技类）、中国中西医结合学会（临床和医技类）二级分会副主任委员；在Nature、Science、Cell、NEJM、Lancet、JAMA、BMJ等国际著名科技期刊发表原创性论文（不含综述、病例报道）的唯一第一作者、共同第一作者排第一或者末位通讯作者</w:t>
            </w:r>
            <w:r>
              <w:rPr>
                <w:rFonts w:hint="eastAsia" w:ascii="仿宋" w:hAnsi="仿宋" w:eastAsia="仿宋" w:cs="仿宋"/>
                <w:sz w:val="15"/>
                <w:szCs w:val="15"/>
                <w:lang w:eastAsia="zh-CN"/>
              </w:rPr>
              <w:t>。</w:t>
            </w:r>
          </w:p>
        </w:tc>
        <w:tc>
          <w:tcPr>
            <w:tcW w:w="974" w:type="dxa"/>
            <w:noWrap w:val="0"/>
            <w:vAlign w:val="center"/>
          </w:tcPr>
          <w:p w14:paraId="4AD969E7">
            <w:pPr>
              <w:spacing w:line="288" w:lineRule="auto"/>
              <w:jc w:val="center"/>
              <w:rPr>
                <w:rFonts w:hint="default" w:ascii="仿宋" w:hAnsi="仿宋" w:eastAsia="仿宋" w:cs="仿宋"/>
                <w:lang w:val="en-US" w:eastAsia="zh-CN"/>
              </w:rPr>
            </w:pPr>
            <w:r>
              <w:rPr>
                <w:rFonts w:hint="eastAsia" w:ascii="仿宋" w:hAnsi="仿宋" w:eastAsia="仿宋" w:cs="仿宋"/>
                <w:lang w:val="en-US" w:eastAsia="zh-CN"/>
              </w:rPr>
              <w:t>30</w:t>
            </w:r>
          </w:p>
        </w:tc>
        <w:tc>
          <w:tcPr>
            <w:tcW w:w="488" w:type="dxa"/>
            <w:noWrap w:val="0"/>
            <w:vAlign w:val="center"/>
          </w:tcPr>
          <w:p w14:paraId="71ACBBDA">
            <w:pPr>
              <w:spacing w:line="288" w:lineRule="auto"/>
              <w:jc w:val="center"/>
              <w:rPr>
                <w:rFonts w:hint="eastAsia" w:ascii="仿宋" w:hAnsi="仿宋" w:eastAsia="仿宋" w:cs="仿宋"/>
                <w:lang w:val="en-US" w:eastAsia="zh-CN"/>
              </w:rPr>
            </w:pPr>
          </w:p>
        </w:tc>
      </w:tr>
      <w:tr w14:paraId="0CE40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noWrap w:val="0"/>
            <w:vAlign w:val="center"/>
          </w:tcPr>
          <w:p w14:paraId="3EFB1C59">
            <w:pPr>
              <w:spacing w:line="288" w:lineRule="auto"/>
              <w:jc w:val="center"/>
              <w:rPr>
                <w:rFonts w:ascii="仿宋" w:hAnsi="仿宋" w:eastAsia="仿宋" w:cs="仿宋"/>
              </w:rPr>
            </w:pPr>
            <w:r>
              <w:rPr>
                <w:rFonts w:hint="eastAsia" w:ascii="仿宋" w:hAnsi="仿宋" w:eastAsia="仿宋" w:cs="仿宋"/>
              </w:rPr>
              <w:t>3</w:t>
            </w:r>
          </w:p>
        </w:tc>
        <w:tc>
          <w:tcPr>
            <w:tcW w:w="6421" w:type="dxa"/>
            <w:noWrap w:val="0"/>
            <w:vAlign w:val="center"/>
          </w:tcPr>
          <w:p w14:paraId="02D5A54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5"/>
                <w:szCs w:val="15"/>
              </w:rPr>
            </w:pPr>
            <w:r>
              <w:rPr>
                <w:rFonts w:hint="eastAsia" w:ascii="仿宋" w:hAnsi="仿宋" w:eastAsia="仿宋" w:cs="仿宋"/>
                <w:sz w:val="15"/>
                <w:szCs w:val="15"/>
              </w:rPr>
              <w:t>省级优秀中医临床人才；省级杰出青年医学人才；省级重点人才计划青年拔尖人才；国家临床重点专科、国家中医药管理局重点专科在聘高级职称且为具有研究生招生经历的硕士生导师；国家中医药管理局中医优势专科带头人；高等院校国家重点学科或者“双一流”建设一流学科副教授及以上且为具有博士研究生招生经历的博士生导师（不含兼职）；广东省高水平临床重点专科、省级临床重点专科（含建设项目）副主任；省级中医药（含临床）重点专科（含建设项目</w:t>
            </w:r>
            <w:r>
              <w:rPr>
                <w:rFonts w:hint="eastAsia" w:ascii="仿宋" w:hAnsi="仿宋" w:eastAsia="仿宋" w:cs="仿宋"/>
                <w:sz w:val="15"/>
                <w:szCs w:val="15"/>
                <w:lang w:eastAsia="zh-CN"/>
              </w:rPr>
              <w:t>）</w:t>
            </w:r>
            <w:r>
              <w:rPr>
                <w:rFonts w:hint="eastAsia" w:ascii="仿宋" w:hAnsi="仿宋" w:eastAsia="仿宋" w:cs="仿宋"/>
                <w:sz w:val="15"/>
                <w:szCs w:val="15"/>
              </w:rPr>
              <w:t>带头人且为具有研究生招生经历的硕士生导师；符合福田区卫生系统人才紧缺岗位目录范围，具有高等院校直属附属三甲医院或者省级卫生行政部门直属三甲医院科室副主任及以上职务，在聘正高专业技术职务，具有博士学位且为具有研究生招生经历的硕士生导师；国家自然科学基金“面上项目”、“重大研究计划项目培育项目”、“国际（地区）合作研究项目”或者“省级自然科学基金杰出青年基金”资助的项目主持人，且课题通过结题验收；在所在专业领域影响因子在30分以上的国际著名科技期刊发表原创性论文（不含综述）的唯一第一作者、共同第一作者排第一或者末位通讯作者。</w:t>
            </w:r>
          </w:p>
        </w:tc>
        <w:tc>
          <w:tcPr>
            <w:tcW w:w="974" w:type="dxa"/>
            <w:noWrap w:val="0"/>
            <w:vAlign w:val="center"/>
          </w:tcPr>
          <w:p w14:paraId="49F89738">
            <w:pPr>
              <w:spacing w:line="288" w:lineRule="auto"/>
              <w:jc w:val="center"/>
              <w:rPr>
                <w:rFonts w:hint="default" w:ascii="仿宋" w:hAnsi="仿宋" w:eastAsia="仿宋" w:cs="仿宋"/>
                <w:lang w:val="en-US" w:eastAsia="zh-CN"/>
              </w:rPr>
            </w:pPr>
            <w:r>
              <w:rPr>
                <w:rFonts w:hint="eastAsia" w:ascii="仿宋" w:hAnsi="仿宋" w:eastAsia="仿宋" w:cs="仿宋"/>
                <w:lang w:val="en-US" w:eastAsia="zh-CN"/>
              </w:rPr>
              <w:t>25</w:t>
            </w:r>
          </w:p>
        </w:tc>
        <w:tc>
          <w:tcPr>
            <w:tcW w:w="488" w:type="dxa"/>
            <w:noWrap w:val="0"/>
            <w:vAlign w:val="center"/>
          </w:tcPr>
          <w:p w14:paraId="11AF4463">
            <w:pPr>
              <w:spacing w:line="288" w:lineRule="auto"/>
              <w:jc w:val="center"/>
              <w:rPr>
                <w:rFonts w:hint="eastAsia" w:ascii="仿宋" w:hAnsi="仿宋" w:eastAsia="仿宋" w:cs="仿宋"/>
                <w:lang w:val="en-US" w:eastAsia="zh-CN"/>
              </w:rPr>
            </w:pPr>
          </w:p>
        </w:tc>
      </w:tr>
      <w:tr w14:paraId="35290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noWrap w:val="0"/>
            <w:vAlign w:val="center"/>
          </w:tcPr>
          <w:p w14:paraId="4A3BFF51">
            <w:pPr>
              <w:spacing w:line="288" w:lineRule="auto"/>
              <w:jc w:val="center"/>
              <w:rPr>
                <w:rFonts w:ascii="仿宋" w:hAnsi="仿宋" w:eastAsia="仿宋" w:cs="仿宋"/>
              </w:rPr>
            </w:pPr>
            <w:r>
              <w:rPr>
                <w:rFonts w:hint="eastAsia" w:ascii="仿宋" w:hAnsi="仿宋" w:eastAsia="仿宋" w:cs="仿宋"/>
              </w:rPr>
              <w:t>4</w:t>
            </w:r>
          </w:p>
        </w:tc>
        <w:tc>
          <w:tcPr>
            <w:tcW w:w="6421" w:type="dxa"/>
            <w:noWrap w:val="0"/>
            <w:vAlign w:val="center"/>
          </w:tcPr>
          <w:p w14:paraId="08E1248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5"/>
                <w:szCs w:val="15"/>
              </w:rPr>
            </w:pPr>
            <w:r>
              <w:rPr>
                <w:rFonts w:hint="eastAsia" w:ascii="仿宋" w:hAnsi="仿宋" w:eastAsia="仿宋" w:cs="仿宋"/>
                <w:sz w:val="15"/>
                <w:szCs w:val="15"/>
              </w:rPr>
              <w:t>获得中国博士后科学基金资助、博士后创新人才支持计划或者国家资助博士后研究人员计划的出站留（来）深博士后；国家自然科学基金青年科学基金项目资助的项目主持人，且课题通过结题验收；担任省级医学会（临床和医技类、临床药学类、公卫类）、医师协会（临床和医技类）、预防医学会（公卫类）、护理学会（临床护理类）、口腔医学会（临床和医技类）、中医药学会（临床和医技类）、中西医结合学会（临床和医技类）二级分会主任委员、副主任委员；符合福田区卫生系统人才紧缺岗位目录范围且具有正高专业技术资格，及全日制硕士研究生以上学历；符合福田区卫生系统人才紧缺岗位目录范围且具有副高专业技术资格，及全日制博士研究生学历；</w:t>
            </w:r>
          </w:p>
        </w:tc>
        <w:tc>
          <w:tcPr>
            <w:tcW w:w="974" w:type="dxa"/>
            <w:noWrap w:val="0"/>
            <w:vAlign w:val="center"/>
          </w:tcPr>
          <w:p w14:paraId="1F90FB24">
            <w:pPr>
              <w:spacing w:line="288" w:lineRule="auto"/>
              <w:jc w:val="center"/>
              <w:rPr>
                <w:rFonts w:hint="default" w:ascii="仿宋" w:hAnsi="仿宋" w:eastAsia="仿宋" w:cs="仿宋"/>
                <w:lang w:val="en-US" w:eastAsia="zh-CN"/>
              </w:rPr>
            </w:pPr>
            <w:r>
              <w:rPr>
                <w:rFonts w:hint="eastAsia" w:ascii="仿宋" w:hAnsi="仿宋" w:eastAsia="仿宋" w:cs="仿宋"/>
                <w:lang w:val="en-US" w:eastAsia="zh-CN"/>
              </w:rPr>
              <w:t>20</w:t>
            </w:r>
          </w:p>
        </w:tc>
        <w:tc>
          <w:tcPr>
            <w:tcW w:w="488" w:type="dxa"/>
            <w:noWrap w:val="0"/>
            <w:vAlign w:val="center"/>
          </w:tcPr>
          <w:p w14:paraId="015689FD">
            <w:pPr>
              <w:spacing w:line="288" w:lineRule="auto"/>
              <w:jc w:val="center"/>
              <w:rPr>
                <w:rFonts w:hint="eastAsia" w:ascii="仿宋" w:hAnsi="仿宋" w:eastAsia="仿宋" w:cs="仿宋"/>
                <w:lang w:val="en-US" w:eastAsia="zh-CN"/>
              </w:rPr>
            </w:pPr>
          </w:p>
        </w:tc>
      </w:tr>
      <w:tr w14:paraId="419B8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noWrap w:val="0"/>
            <w:vAlign w:val="center"/>
          </w:tcPr>
          <w:p w14:paraId="1F842674">
            <w:pPr>
              <w:spacing w:line="288" w:lineRule="auto"/>
              <w:jc w:val="center"/>
              <w:rPr>
                <w:rFonts w:ascii="仿宋" w:hAnsi="仿宋" w:eastAsia="仿宋" w:cs="仿宋"/>
              </w:rPr>
            </w:pPr>
            <w:r>
              <w:rPr>
                <w:rFonts w:hint="eastAsia" w:ascii="仿宋" w:hAnsi="仿宋" w:eastAsia="仿宋" w:cs="仿宋"/>
              </w:rPr>
              <w:t>5</w:t>
            </w:r>
          </w:p>
        </w:tc>
        <w:tc>
          <w:tcPr>
            <w:tcW w:w="6421" w:type="dxa"/>
            <w:noWrap w:val="0"/>
            <w:vAlign w:val="center"/>
          </w:tcPr>
          <w:p w14:paraId="003527EE">
            <w:pPr>
              <w:keepNext w:val="0"/>
              <w:keepLines w:val="0"/>
              <w:pageBreakBefore w:val="0"/>
              <w:widowControl w:val="0"/>
              <w:kinsoku/>
              <w:wordWrap/>
              <w:overflowPunct/>
              <w:topLinePunct w:val="0"/>
              <w:autoSpaceDE/>
              <w:autoSpaceDN/>
              <w:bidi w:val="0"/>
              <w:adjustRightInd/>
              <w:snapToGrid/>
              <w:spacing w:line="240" w:lineRule="exact"/>
              <w:ind w:firstLine="150" w:firstLineChars="100"/>
              <w:jc w:val="left"/>
              <w:textAlignment w:val="auto"/>
              <w:rPr>
                <w:rFonts w:hint="eastAsia" w:ascii="仿宋" w:hAnsi="仿宋" w:eastAsia="仿宋" w:cs="仿宋"/>
                <w:sz w:val="15"/>
                <w:szCs w:val="15"/>
              </w:rPr>
            </w:pPr>
            <w:r>
              <w:rPr>
                <w:rFonts w:hint="eastAsia" w:ascii="仿宋" w:hAnsi="仿宋" w:eastAsia="仿宋" w:cs="仿宋"/>
                <w:sz w:val="15"/>
                <w:szCs w:val="15"/>
              </w:rPr>
              <w:t>在“双一流”建设高等院校直属附属三甲医院、省级卫生行政部门直属三甲医院中省级以上临床（含中医）重点专科连续工作5年以上</w:t>
            </w:r>
            <w:r>
              <w:rPr>
                <w:rFonts w:hint="eastAsia" w:ascii="仿宋" w:hAnsi="仿宋" w:eastAsia="仿宋" w:cs="仿宋"/>
                <w:sz w:val="15"/>
                <w:szCs w:val="15"/>
                <w:lang w:eastAsia="zh-CN"/>
              </w:rPr>
              <w:t>，</w:t>
            </w:r>
            <w:r>
              <w:rPr>
                <w:rFonts w:hint="eastAsia" w:ascii="仿宋" w:hAnsi="仿宋" w:eastAsia="仿宋" w:cs="仿宋"/>
                <w:sz w:val="15"/>
                <w:szCs w:val="15"/>
              </w:rPr>
              <w:t>且在工作期间取得高级专业技术资格；在国家三级公立医院绩效考核为A+（以最新排名为准）的“双一流”建设高等院校直属三甲医院、省级卫生行政部门直属三甲医院中连续工作5年，且具有卫生系列高级专业技术资格及全日制博士研究</w:t>
            </w:r>
            <w:r>
              <w:rPr>
                <w:rFonts w:hint="eastAsia" w:ascii="仿宋" w:hAnsi="仿宋" w:eastAsia="仿宋" w:cs="仿宋"/>
                <w:sz w:val="15"/>
                <w:szCs w:val="15"/>
                <w:lang w:eastAsia="zh-CN"/>
              </w:rPr>
              <w:t>生</w:t>
            </w:r>
            <w:r>
              <w:rPr>
                <w:rFonts w:hint="eastAsia" w:ascii="仿宋" w:hAnsi="仿宋" w:eastAsia="仿宋" w:cs="仿宋"/>
                <w:sz w:val="15"/>
                <w:szCs w:val="15"/>
              </w:rPr>
              <w:t>学历；省级老中医药专家学术经验继承工作继承人，且已出师</w:t>
            </w:r>
            <w:r>
              <w:rPr>
                <w:rFonts w:hint="eastAsia" w:ascii="仿宋" w:hAnsi="仿宋" w:eastAsia="仿宋" w:cs="仿宋"/>
                <w:sz w:val="15"/>
                <w:szCs w:val="15"/>
                <w:lang w:val="en-US" w:eastAsia="zh-CN"/>
              </w:rPr>
              <w:t>；</w:t>
            </w:r>
            <w:r>
              <w:rPr>
                <w:rFonts w:hint="eastAsia" w:ascii="仿宋" w:hAnsi="仿宋" w:eastAsia="仿宋" w:cs="仿宋"/>
                <w:sz w:val="15"/>
                <w:szCs w:val="15"/>
              </w:rPr>
              <w:t>符合福田区卫生系统人才紧缺岗位目录范围且具有副高专业技术资格及全日制硕士研究生学历；符合福田区卫生系统人才紧缺岗位目录范围且具有全日制博士研究生学历。</w:t>
            </w:r>
          </w:p>
        </w:tc>
        <w:tc>
          <w:tcPr>
            <w:tcW w:w="974" w:type="dxa"/>
            <w:noWrap w:val="0"/>
            <w:vAlign w:val="center"/>
          </w:tcPr>
          <w:p w14:paraId="5FA51E3F">
            <w:pPr>
              <w:spacing w:line="288" w:lineRule="auto"/>
              <w:jc w:val="center"/>
              <w:rPr>
                <w:rFonts w:hint="default" w:ascii="仿宋" w:hAnsi="仿宋" w:eastAsia="仿宋" w:cs="仿宋"/>
                <w:lang w:val="en-US" w:eastAsia="zh-CN"/>
              </w:rPr>
            </w:pPr>
            <w:r>
              <w:rPr>
                <w:rFonts w:hint="eastAsia" w:ascii="仿宋" w:hAnsi="仿宋" w:eastAsia="仿宋" w:cs="仿宋"/>
                <w:lang w:val="en-US" w:eastAsia="zh-CN"/>
              </w:rPr>
              <w:t>15</w:t>
            </w:r>
          </w:p>
        </w:tc>
        <w:tc>
          <w:tcPr>
            <w:tcW w:w="488" w:type="dxa"/>
            <w:noWrap w:val="0"/>
            <w:vAlign w:val="center"/>
          </w:tcPr>
          <w:p w14:paraId="37368DF5">
            <w:pPr>
              <w:spacing w:line="288" w:lineRule="auto"/>
              <w:jc w:val="center"/>
              <w:rPr>
                <w:rFonts w:hint="eastAsia" w:ascii="仿宋" w:hAnsi="仿宋" w:eastAsia="仿宋" w:cs="仿宋"/>
                <w:lang w:val="en-US" w:eastAsia="zh-CN"/>
              </w:rPr>
            </w:pPr>
          </w:p>
        </w:tc>
      </w:tr>
      <w:tr w14:paraId="649C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noWrap w:val="0"/>
            <w:vAlign w:val="center"/>
          </w:tcPr>
          <w:p w14:paraId="5E8C5F81">
            <w:pPr>
              <w:spacing w:line="288" w:lineRule="auto"/>
              <w:jc w:val="center"/>
              <w:rPr>
                <w:rFonts w:ascii="仿宋" w:hAnsi="仿宋" w:eastAsia="仿宋" w:cs="仿宋"/>
              </w:rPr>
            </w:pPr>
            <w:r>
              <w:rPr>
                <w:rFonts w:hint="eastAsia" w:ascii="仿宋" w:hAnsi="仿宋" w:eastAsia="仿宋" w:cs="仿宋"/>
              </w:rPr>
              <w:t>6</w:t>
            </w:r>
          </w:p>
        </w:tc>
        <w:tc>
          <w:tcPr>
            <w:tcW w:w="6421" w:type="dxa"/>
            <w:noWrap w:val="0"/>
            <w:vAlign w:val="center"/>
          </w:tcPr>
          <w:p w14:paraId="2BFDC67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 w:hAnsi="仿宋" w:eastAsia="仿宋" w:cs="仿宋"/>
                <w:sz w:val="15"/>
                <w:szCs w:val="15"/>
                <w:lang w:val="en-US" w:eastAsia="zh-CN"/>
              </w:rPr>
            </w:pPr>
            <w:r>
              <w:rPr>
                <w:rFonts w:hint="eastAsia" w:ascii="仿宋" w:hAnsi="仿宋" w:eastAsia="仿宋" w:cs="仿宋"/>
                <w:sz w:val="15"/>
                <w:szCs w:val="15"/>
                <w:lang w:val="en-US" w:eastAsia="zh-CN"/>
              </w:rPr>
              <w:t>不符合以上条件的病区主任、门诊科室主任、医技科室主任、相关研究平台负责人等。</w:t>
            </w:r>
          </w:p>
        </w:tc>
        <w:tc>
          <w:tcPr>
            <w:tcW w:w="974" w:type="dxa"/>
            <w:noWrap w:val="0"/>
            <w:vAlign w:val="center"/>
          </w:tcPr>
          <w:p w14:paraId="7032FB6F">
            <w:pPr>
              <w:spacing w:line="288" w:lineRule="auto"/>
              <w:jc w:val="center"/>
              <w:rPr>
                <w:rFonts w:hint="default" w:ascii="仿宋" w:hAnsi="仿宋" w:eastAsia="仿宋" w:cs="仿宋"/>
                <w:lang w:val="en-US" w:eastAsia="zh-CN"/>
              </w:rPr>
            </w:pPr>
            <w:r>
              <w:rPr>
                <w:rFonts w:hint="eastAsia" w:ascii="仿宋" w:hAnsi="仿宋" w:eastAsia="仿宋" w:cs="仿宋"/>
                <w:lang w:val="en-US" w:eastAsia="zh-CN"/>
              </w:rPr>
              <w:t>15</w:t>
            </w:r>
          </w:p>
        </w:tc>
        <w:tc>
          <w:tcPr>
            <w:tcW w:w="488" w:type="dxa"/>
            <w:noWrap w:val="0"/>
            <w:vAlign w:val="center"/>
          </w:tcPr>
          <w:p w14:paraId="4EE74BAF">
            <w:pPr>
              <w:spacing w:line="288" w:lineRule="auto"/>
              <w:jc w:val="center"/>
              <w:rPr>
                <w:rFonts w:hint="eastAsia" w:ascii="仿宋" w:hAnsi="仿宋" w:eastAsia="仿宋" w:cs="仿宋"/>
                <w:lang w:val="en-US" w:eastAsia="zh-CN"/>
              </w:rPr>
            </w:pPr>
          </w:p>
        </w:tc>
      </w:tr>
      <w:tr w14:paraId="2F963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2" w:type="dxa"/>
            <w:gridSpan w:val="3"/>
            <w:noWrap w:val="0"/>
            <w:vAlign w:val="center"/>
          </w:tcPr>
          <w:p w14:paraId="688C840A">
            <w:pPr>
              <w:spacing w:line="288" w:lineRule="auto"/>
              <w:jc w:val="center"/>
              <w:rPr>
                <w:rFonts w:hint="eastAsia" w:ascii="仿宋" w:hAnsi="仿宋" w:eastAsia="仿宋" w:cs="仿宋"/>
              </w:rPr>
            </w:pPr>
            <w:r>
              <w:rPr>
                <w:rFonts w:hint="eastAsia" w:ascii="仿宋" w:hAnsi="仿宋" w:eastAsia="仿宋" w:cs="仿宋"/>
                <w:b/>
                <w:bCs/>
                <w:color w:val="FF0000"/>
                <w:lang w:val="en-US" w:eastAsia="zh-CN"/>
              </w:rPr>
              <w:t>以上未包含的</w:t>
            </w:r>
            <w:r>
              <w:rPr>
                <w:rFonts w:hint="eastAsia" w:ascii="仿宋" w:hAnsi="仿宋" w:eastAsia="仿宋" w:cs="仿宋"/>
                <w:b/>
                <w:bCs/>
                <w:color w:val="FF0000"/>
              </w:rPr>
              <w:t>特殊人才一人一议</w:t>
            </w:r>
          </w:p>
        </w:tc>
        <w:tc>
          <w:tcPr>
            <w:tcW w:w="488" w:type="dxa"/>
            <w:noWrap w:val="0"/>
            <w:vAlign w:val="center"/>
          </w:tcPr>
          <w:p w14:paraId="4462A2A4">
            <w:pPr>
              <w:spacing w:line="288" w:lineRule="auto"/>
              <w:jc w:val="center"/>
              <w:rPr>
                <w:rFonts w:hint="eastAsia" w:ascii="仿宋" w:hAnsi="仿宋" w:eastAsia="仿宋" w:cs="仿宋"/>
                <w:b/>
                <w:bCs/>
                <w:color w:val="FF0000"/>
              </w:rPr>
            </w:pPr>
          </w:p>
        </w:tc>
      </w:tr>
    </w:tbl>
    <w:p w14:paraId="16FB1774">
      <w:pPr>
        <w:rPr>
          <w:rFonts w:hint="default" w:eastAsia="宋体"/>
          <w:lang w:val="en-US" w:eastAsia="zh-CN"/>
        </w:rPr>
      </w:pPr>
      <w:r>
        <w:rPr>
          <w:rFonts w:hint="eastAsia"/>
          <w:lang w:val="en-US" w:eastAsia="zh-CN"/>
        </w:rPr>
        <w:t xml:space="preserve">   </w:t>
      </w:r>
      <w:bookmarkStart w:id="0" w:name="_GoBack"/>
      <w:bookmarkEnd w:id="0"/>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15B2DE0"/>
    <w:rsid w:val="11F7576D"/>
    <w:rsid w:val="1E6800DE"/>
    <w:rsid w:val="41C43DA9"/>
    <w:rsid w:val="42905F4B"/>
    <w:rsid w:val="51717AC9"/>
    <w:rsid w:val="5CF9552E"/>
    <w:rsid w:val="5D6E2729"/>
    <w:rsid w:val="690265D0"/>
    <w:rsid w:val="6F8A76FB"/>
    <w:rsid w:val="70806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styleId="3">
    <w:name w:val="Body Text 2"/>
    <w:basedOn w:val="1"/>
    <w:qFormat/>
    <w:uiPriority w:val="0"/>
    <w:pPr>
      <w:spacing w:line="360" w:lineRule="auto"/>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2089</Words>
  <Characters>2124</Characters>
  <Lines>1</Lines>
  <Paragraphs>1</Paragraphs>
  <TotalTime>145</TotalTime>
  <ScaleCrop>false</ScaleCrop>
  <LinksUpToDate>false</LinksUpToDate>
  <CharactersWithSpaces>2124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2025-10-27T09:15:00Z</dcterms:created>
  <dc:creator>知竹</dc:creator>
  <cp:lastModifiedBy>知竹</cp:lastModifiedBy>
  <dcterms:modified xsi:type="dcterms:W3CDTF">2025-10-28T23:40:28Z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0815EF8938E84531B6222E6990C834D3_13</vt:lpwstr>
  </property>
  <property fmtid="{D5CDD505-2E9C-101B-9397-08002B2CF9AE}" pid="4" name="KSOTemplateDocerSaveRecord">
    <vt:lpwstr>eyJoZGlkIjoiMDk4ZjkxMGVkODM4MmFkODAzYmNjYWVjYjMwMWI1M2MiLCJ1c2VySWQiOiIyMTg3NzU3NDEifQ==</vt:lpwstr>
  </property>
</Properties>
</file>