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907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E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D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1D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6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36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7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5198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90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AE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医用鼻腔清洗液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B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医用鼻腔清洗液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8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A5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AC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用于急慢性、过敏性鼻炎、鼻息肉、鼻窦炎及感冒引起的鼻腔疾病患者的鼻腔清洗、湿润，也可用于鼻炎术后及化疗后的鼻腔清洗。与飞羊医用电动喷雾洗鼻器配套使用。</w:t>
            </w:r>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D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分段式长期血透导管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分段式长期血透导管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用于为血液透析和血浆分离建立长期血管通路，专用于成人患者。从静脉进入中心血液循环，实现快速输液，血液透析。</w:t>
            </w:r>
          </w:p>
        </w:tc>
      </w:tr>
      <w:tr w14:paraId="3A8B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D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9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外周切割球囊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4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外周切割球囊</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8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6700元/根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2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用于周围血管中阻塞病变部位的经皮腔内血管成形术（PTA）。</w:t>
            </w:r>
          </w:p>
        </w:tc>
      </w:tr>
      <w:tr w14:paraId="5E57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0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鼻胃肠管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鼻胃肠管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D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4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用于经胃营养供给和胃肠减压</w:t>
            </w:r>
            <w:r>
              <w:rPr>
                <w:rFonts w:hint="eastAsia" w:cs="宋体"/>
                <w:i w:val="0"/>
                <w:iCs w:val="0"/>
                <w:color w:val="000000"/>
                <w:kern w:val="0"/>
                <w:sz w:val="24"/>
                <w:szCs w:val="24"/>
                <w:u w:val="none"/>
                <w:lang w:val="en-US" w:eastAsia="zh-CN" w:bidi="ar"/>
              </w:rPr>
              <w:t>。</w:t>
            </w:r>
          </w:p>
        </w:tc>
      </w:tr>
      <w:tr w14:paraId="030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A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5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地中海贫血基因检测试剂盒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6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地中海贫血基因检测试剂盒</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6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132元/人份</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1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用于体外定性检测人全血基因组DNA样本。</w:t>
            </w:r>
          </w:p>
        </w:tc>
      </w:tr>
      <w:tr w14:paraId="7245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2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8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一次性多通道单孔腹腔镜穿刺器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E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一次性多通道单孔腹腔镜穿刺器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7E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6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7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供腹腔镜检查和手术过程中，牵开、保护切口，并作为单孔腹腔镜手术用腔镜、钳、剪等器械进出切口的密封操作通道。</w:t>
            </w:r>
          </w:p>
        </w:tc>
      </w:tr>
      <w:tr w14:paraId="088C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9FB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570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呼吸治疗湿化仪相关耗材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72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加热呼吸管路套装</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9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5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A0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与高流量呼吸湿化治疗仪PT101AZ配套使用耗材，内置螺旋加热丝和病人端温度探头，将加温加湿后的气体输送给患者，与成人鼻塞及小儿鼻塞能连接，使用时间</w:t>
            </w:r>
            <w:r>
              <w:rPr>
                <w:rFonts w:hint="eastAsia"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14天。</w:t>
            </w:r>
          </w:p>
        </w:tc>
      </w:tr>
      <w:tr w14:paraId="2849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7D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20B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000000"/>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B7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鼻塞导管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FC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87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A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与高流量呼吸湿化治疗仪PT101AZ配套使用耗材，主要通过鼻塞导管给患者提供相对恒定的吸氧浓度、温度和湿度的高流量气体，使用时间</w:t>
            </w:r>
            <w:r>
              <w:rPr>
                <w:rFonts w:hint="eastAsia"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14天。</w:t>
            </w:r>
          </w:p>
        </w:tc>
      </w:tr>
      <w:tr w14:paraId="59A5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7B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093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000000"/>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气管切管接头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8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DB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C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与高流量呼吸湿化治疗仪PT101AZ配套使用耗材，主要通过气管切管接头给患者提供相对恒定的吸氧浓度、温度和湿度的高流量气体，使用时间</w:t>
            </w:r>
            <w:r>
              <w:rPr>
                <w:rFonts w:hint="eastAsia"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14天。</w:t>
            </w:r>
          </w:p>
        </w:tc>
      </w:tr>
      <w:tr w14:paraId="77DF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C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39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传染病检测 标准物质九项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0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传染病检测 标准物质九项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D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B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24-150元/支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9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HBsAg、HBsAb、HBeAg、HBeAb、HBcAb、HIV、HCV、TP、NA九项标准物质。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keepNext w:val="0"/>
        <w:keepLines w:val="0"/>
        <w:pageBreakBefore w:val="0"/>
        <w:widowControl w:val="0"/>
        <w:kinsoku/>
        <w:wordWrap/>
        <w:overflowPunct/>
        <w:topLinePunct w:val="0"/>
        <w:autoSpaceDE/>
        <w:autoSpaceDN/>
        <w:bidi w:val="0"/>
        <w:adjustRightInd w:val="0"/>
        <w:snapToGrid w:val="0"/>
        <w:ind w:left="0" w:firstLine="482" w:firstLineChars="200"/>
        <w:textAlignment w:val="auto"/>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5839"/>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026"/>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6" w:type="dxa"/>
            <w:noWrap w:val="0"/>
            <w:vAlign w:val="center"/>
          </w:tcPr>
          <w:p w14:paraId="26D42B59">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序号</w:t>
            </w:r>
          </w:p>
        </w:tc>
        <w:tc>
          <w:tcPr>
            <w:tcW w:w="1026" w:type="dxa"/>
            <w:noWrap w:val="0"/>
            <w:vAlign w:val="top"/>
          </w:tcPr>
          <w:p w14:paraId="7CF9539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产品</w:t>
            </w:r>
          </w:p>
          <w:p w14:paraId="4E0E847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名称</w:t>
            </w:r>
          </w:p>
        </w:tc>
        <w:tc>
          <w:tcPr>
            <w:tcW w:w="1228" w:type="dxa"/>
            <w:noWrap w:val="0"/>
            <w:vAlign w:val="center"/>
          </w:tcPr>
          <w:p w14:paraId="092637B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p w14:paraId="4338F3D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型号</w:t>
            </w:r>
          </w:p>
          <w:p w14:paraId="6A31CB9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tc>
        <w:tc>
          <w:tcPr>
            <w:tcW w:w="1050" w:type="dxa"/>
            <w:noWrap w:val="0"/>
            <w:vAlign w:val="center"/>
          </w:tcPr>
          <w:p w14:paraId="2D5666B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包装</w:t>
            </w:r>
          </w:p>
          <w:p w14:paraId="011AAFA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规格</w:t>
            </w:r>
          </w:p>
        </w:tc>
        <w:tc>
          <w:tcPr>
            <w:tcW w:w="736" w:type="dxa"/>
            <w:noWrap w:val="0"/>
            <w:vAlign w:val="center"/>
          </w:tcPr>
          <w:p w14:paraId="0152733C">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数量</w:t>
            </w:r>
          </w:p>
        </w:tc>
        <w:tc>
          <w:tcPr>
            <w:tcW w:w="1050" w:type="dxa"/>
            <w:noWrap w:val="0"/>
            <w:vAlign w:val="center"/>
          </w:tcPr>
          <w:p w14:paraId="6CB51BE9">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单价（元）</w:t>
            </w:r>
          </w:p>
        </w:tc>
        <w:tc>
          <w:tcPr>
            <w:tcW w:w="1431" w:type="dxa"/>
            <w:noWrap w:val="0"/>
            <w:vAlign w:val="center"/>
          </w:tcPr>
          <w:p w14:paraId="6F4563D9">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生产厂家</w:t>
            </w:r>
          </w:p>
        </w:tc>
        <w:tc>
          <w:tcPr>
            <w:tcW w:w="1353" w:type="dxa"/>
            <w:noWrap w:val="0"/>
            <w:vAlign w:val="center"/>
          </w:tcPr>
          <w:p w14:paraId="70A86D59">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ascii="宋体" w:hAnsi="宋体"/>
                <w:sz w:val="24"/>
              </w:rPr>
            </w:pPr>
            <w:r>
              <w:rPr>
                <w:rFonts w:hint="eastAsia" w:ascii="宋体" w:hAnsi="宋体"/>
                <w:sz w:val="24"/>
              </w:rPr>
              <w:t>产品</w:t>
            </w:r>
          </w:p>
          <w:p w14:paraId="7E192661">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706" w:type="dxa"/>
            <w:noWrap w:val="0"/>
            <w:vAlign w:val="center"/>
          </w:tcPr>
          <w:p w14:paraId="48646D1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sz w:val="24"/>
              </w:rPr>
            </w:pPr>
            <w:r>
              <w:rPr>
                <w:rFonts w:hint="eastAsia" w:ascii="宋体" w:hAnsi="宋体"/>
                <w:sz w:val="24"/>
              </w:rPr>
              <w:t>1</w:t>
            </w:r>
          </w:p>
        </w:tc>
        <w:tc>
          <w:tcPr>
            <w:tcW w:w="1026" w:type="dxa"/>
            <w:noWrap w:val="0"/>
            <w:vAlign w:val="center"/>
          </w:tcPr>
          <w:p w14:paraId="46E81C9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p>
        </w:tc>
        <w:tc>
          <w:tcPr>
            <w:tcW w:w="1104" w:type="dxa"/>
            <w:noWrap w:val="0"/>
            <w:vAlign w:val="center"/>
          </w:tcPr>
          <w:p w14:paraId="453C0AB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p>
        </w:tc>
        <w:tc>
          <w:tcPr>
            <w:tcW w:w="1228" w:type="dxa"/>
            <w:noWrap w:val="0"/>
            <w:vAlign w:val="center"/>
          </w:tcPr>
          <w:p w14:paraId="10DEF9C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p>
        </w:tc>
        <w:tc>
          <w:tcPr>
            <w:tcW w:w="1050" w:type="dxa"/>
            <w:noWrap w:val="0"/>
            <w:vAlign w:val="center"/>
          </w:tcPr>
          <w:p w14:paraId="69B95C8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r>
              <w:rPr>
                <w:rFonts w:hint="eastAsia" w:ascii="宋体" w:hAnsi="宋体"/>
                <w:sz w:val="24"/>
              </w:rPr>
              <w:t>**/盒/包</w:t>
            </w:r>
          </w:p>
        </w:tc>
        <w:tc>
          <w:tcPr>
            <w:tcW w:w="736" w:type="dxa"/>
            <w:noWrap w:val="0"/>
            <w:vAlign w:val="center"/>
          </w:tcPr>
          <w:p w14:paraId="5683304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pPr>
            <w:r>
              <w:rPr>
                <w:rFonts w:hint="eastAsia" w:ascii="宋体" w:hAnsi="宋体"/>
                <w:sz w:val="24"/>
              </w:rPr>
              <w:t>按需供应</w:t>
            </w:r>
          </w:p>
        </w:tc>
        <w:tc>
          <w:tcPr>
            <w:tcW w:w="1050" w:type="dxa"/>
            <w:noWrap w:val="0"/>
            <w:vAlign w:val="center"/>
          </w:tcPr>
          <w:p w14:paraId="3AB9D70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pPr>
            <w:r>
              <w:rPr>
                <w:rFonts w:hint="eastAsia" w:ascii="宋体" w:hAnsi="宋体"/>
                <w:sz w:val="24"/>
              </w:rPr>
              <w:t>**元/支</w:t>
            </w:r>
          </w:p>
        </w:tc>
        <w:tc>
          <w:tcPr>
            <w:tcW w:w="1431" w:type="dxa"/>
            <w:noWrap w:val="0"/>
            <w:vAlign w:val="center"/>
          </w:tcPr>
          <w:p w14:paraId="58E600D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p>
        </w:tc>
        <w:tc>
          <w:tcPr>
            <w:tcW w:w="1353" w:type="dxa"/>
            <w:noWrap w:val="0"/>
            <w:vAlign w:val="center"/>
          </w:tcPr>
          <w:p w14:paraId="7786E29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jc w:val="center"/>
        <w:tblLayout w:type="autofit"/>
        <w:tblCellMar>
          <w:top w:w="0" w:type="dxa"/>
          <w:left w:w="108" w:type="dxa"/>
          <w:bottom w:w="0" w:type="dxa"/>
          <w:right w:w="108" w:type="dxa"/>
        </w:tblCellMar>
      </w:tblPr>
      <w:tblGrid>
        <w:gridCol w:w="1573"/>
        <w:gridCol w:w="6405"/>
      </w:tblGrid>
      <w:tr w14:paraId="517680C5">
        <w:trPr>
          <w:jc w:val="center"/>
        </w:trPr>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rPr>
          <w:jc w:val="center"/>
        </w:trPr>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rPr>
          <w:jc w:val="center"/>
        </w:trPr>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bookmarkStart w:id="71" w:name="_GoBack"/>
      <w:bookmarkEnd w:id="71"/>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jc w:val="center"/>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rPr>
          <w:jc w:val="center"/>
        </w:trPr>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rPr>
          <w:jc w:val="center"/>
        </w:trPr>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rPr>
          <w:jc w:val="center"/>
        </w:trPr>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rPr>
          <w:jc w:val="center"/>
        </w:trPr>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rPr>
          <w:jc w:val="center"/>
        </w:trPr>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rPr>
          <w:jc w:val="center"/>
        </w:trPr>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jc w:val="center"/>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rPr>
          <w:jc w:val="center"/>
        </w:trPr>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rPr>
          <w:jc w:val="center"/>
        </w:trPr>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rPr>
          <w:jc w:val="center"/>
        </w:trPr>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rPr>
          <w:jc w:val="center"/>
        </w:trPr>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28037690"/>
      <w:bookmarkStart w:id="16" w:name="_Toc22203"/>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31500"/>
      <w:bookmarkStart w:id="20" w:name="_Toc27475"/>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09889666"/>
      <w:bookmarkStart w:id="30" w:name="_Toc1381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28037695"/>
      <w:bookmarkStart w:id="34" w:name="_Toc109889667"/>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77F427F"/>
    <w:rsid w:val="18746AF7"/>
    <w:rsid w:val="19594434"/>
    <w:rsid w:val="19930E05"/>
    <w:rsid w:val="20CC1238"/>
    <w:rsid w:val="21CC120A"/>
    <w:rsid w:val="2610794F"/>
    <w:rsid w:val="30102D85"/>
    <w:rsid w:val="3268542A"/>
    <w:rsid w:val="33A64C38"/>
    <w:rsid w:val="33C44EDE"/>
    <w:rsid w:val="3511361D"/>
    <w:rsid w:val="39BC402B"/>
    <w:rsid w:val="39F74F62"/>
    <w:rsid w:val="3A1F069E"/>
    <w:rsid w:val="3C8D18CF"/>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11192</Words>
  <Characters>11466</Characters>
  <Lines>0</Lines>
  <Paragraphs>0</Paragraphs>
  <TotalTime>5</TotalTime>
  <ScaleCrop>false</ScaleCrop>
  <LinksUpToDate>false</LinksUpToDate>
  <CharactersWithSpaces>11689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2026-02-25T08:07:40Z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